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СЕЛЯВИНСКОГО СЕЛЬСКОГО ПОСЕЛЕНИЯ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______________________________________________________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  от  «07»  февраля  2012г.   №  70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pacing w:val="-4"/>
          <w:lang w:eastAsia="ru-RU"/>
        </w:rPr>
        <w:t>  </w:t>
      </w:r>
      <w:r w:rsidRPr="008856D1">
        <w:rPr>
          <w:rFonts w:ascii="Times New Roman" w:eastAsia="Times New Roman" w:hAnsi="Times New Roman" w:cs="Times New Roman"/>
          <w:color w:val="212121"/>
          <w:spacing w:val="-4"/>
          <w:sz w:val="18"/>
          <w:szCs w:val="18"/>
          <w:lang w:eastAsia="ru-RU"/>
        </w:rPr>
        <w:t>                                  </w:t>
      </w:r>
      <w:r w:rsidRPr="008856D1"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  <w:lang w:eastAsia="ru-RU"/>
        </w:rPr>
        <w:t>с. Селявное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right="385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right="385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внесении изменений  и дополнений  в решение Совета народных депутатов Селявинского сельского поселения от 15.11.2010г № 18 «О бюджете Селявинского сельского поселения Лискинского муниципального района Воронежской области на 2011г и на плановый период 2012 – 2013 годов»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 В соответствии с Бюджетным кодексом Российской Федерации, решением Совета народных депутатов Селявинского сельского поселения от 25.10.2005г № 12 «Об утверждении Положения о бюджетном процессе бюджета Селявинского сельского поселения Лискинского муниципального района Воронежской области», Совет народных депутатов Селявинского сельского поселения,     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     РЕШИЛ: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</w:t>
      </w:r>
      <w:r w:rsidRPr="008856D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Внести в  решение  Совета народных депутатов Селявинского сельского поселения от 15.11.2010г № 18 «О бюджете Селявинского сельского поселения Лискинского муниципального  района Воронежской области на 2011год  и на плановый период 2012-2013 годов»  следующие изменения и дополнения: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 Пункт 1 статьи 1 изложить в следующей редакции: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«1) прогнозируемый общий объем доходов бюджета Селявинского сельского поселения Лискинского муниципального района  Воронежской области в сумме 5525,6 тыс. рублей, в том числе безвозмездные поступления из областного бюджета в сумме 52,8 тыс. рублей».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Пункт 2 статьи 1 изложить в следующей редакции: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«2)  общий объем расходов бюджета Селявинского сельского поселения в сумме 5525,6 тыс. рублей».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Приложение № 1 «Источники внутреннего дефицита бюджета Селявинского сельского поселения  Лискинского муниципального района Воронежской  области на 2011 год и плановый период 2012 – 2013 годов» изложить в новой редакции согласно приложения № 1  настоящего Решения.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Приложение № 7 «Ведомственная структура расходов бюджета Селявинского сельского поселения Лискинского муниципального района Воронежской области на 2011 год» изложить в новой редакции согласно приложения № 2 настоящего Решения.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Приложение № 9 «Распределение бюджетных ассигнований на 2011 год  по разделам и подразделам, целевым статьям и видам расходов функциональной классификации расходов бюджета Селявинского сельского поселения» изложить в новой редакции согласно приложения № 3 настоящего Решения.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8856D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Главному бухгалтеру администрации Селявинского сельского поселения  Власенко В.П.  внести соответствующие изменения  в бюджет поселения.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8856D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исполнением настоящего Решения возложить на ревизионную комиссию Селявинского сельского поселения Лискинского муниципального  района Воронежской области.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ind w:left="578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8856D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8856D1" w:rsidRPr="008856D1" w:rsidRDefault="008856D1" w:rsidP="008856D1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Селявинского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                                                                      А.Н. Семченко  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«7»  февраля  2012 г. № 70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«15»  ноября  2011 г. № 18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Источники внутреннего дефицита бюджета Селявинского сельского поселения                Лискинского муниципального района Воронежской области на 2011 год и плановый период 2012-2013 годов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(тыс.рублей)</w:t>
      </w:r>
    </w:p>
    <w:tbl>
      <w:tblPr>
        <w:tblW w:w="10260" w:type="dxa"/>
        <w:tblInd w:w="-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491"/>
        <w:gridCol w:w="2916"/>
        <w:gridCol w:w="1332"/>
        <w:gridCol w:w="1440"/>
        <w:gridCol w:w="1440"/>
      </w:tblGrid>
      <w:tr w:rsidR="008856D1" w:rsidRPr="008856D1" w:rsidTr="008856D1"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Сумма</w:t>
            </w:r>
          </w:p>
        </w:tc>
      </w:tr>
      <w:tr w:rsidR="008856D1" w:rsidRPr="008856D1" w:rsidTr="008856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2013 год</w:t>
            </w:r>
          </w:p>
        </w:tc>
      </w:tr>
      <w:tr w:rsidR="008856D1" w:rsidRPr="008856D1" w:rsidTr="008856D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</w:tr>
      <w:tr w:rsidR="008856D1" w:rsidRPr="008856D1" w:rsidTr="008856D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250</w:t>
            </w:r>
          </w:p>
        </w:tc>
      </w:tr>
      <w:tr w:rsidR="008856D1" w:rsidRPr="008856D1" w:rsidTr="008856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250</w:t>
            </w:r>
          </w:p>
        </w:tc>
      </w:tr>
      <w:tr w:rsidR="008856D1" w:rsidRPr="008856D1" w:rsidTr="008856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Погашение бюджетных кредитов полученных от других бюджетов бюджетной системы РФ в валюте РФ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-250</w:t>
            </w:r>
          </w:p>
        </w:tc>
      </w:tr>
      <w:tr w:rsidR="008856D1" w:rsidRPr="008856D1" w:rsidTr="008856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-250</w:t>
            </w:r>
          </w:p>
        </w:tc>
      </w:tr>
      <w:tr w:rsidR="008856D1" w:rsidRPr="008856D1" w:rsidTr="008856D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rPr>
          <w:trHeight w:val="1068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-5775,6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5181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-5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34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8,4</w:t>
            </w:r>
          </w:p>
        </w:tc>
      </w:tr>
      <w:tr w:rsidR="008856D1" w:rsidRPr="008856D1" w:rsidTr="008856D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01 05 00 00 10 0000 510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-5775,6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5181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-5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34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8,4</w:t>
            </w:r>
          </w:p>
        </w:tc>
      </w:tr>
      <w:tr w:rsidR="008856D1" w:rsidRPr="008856D1" w:rsidTr="008856D1">
        <w:trPr>
          <w:trHeight w:val="86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5775,6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5181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34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8,4</w:t>
            </w:r>
          </w:p>
        </w:tc>
      </w:tr>
      <w:tr w:rsidR="008856D1" w:rsidRPr="008856D1" w:rsidTr="008856D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01 05 00 00 10 0000 610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5775,6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5181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34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8,4</w:t>
            </w:r>
          </w:p>
        </w:tc>
      </w:tr>
    </w:tbl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«7»  февраля 2012 г. № 70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7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«15»  ноября  2011 г. № 18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0263B2"/>
          <w:kern w:val="36"/>
          <w:sz w:val="24"/>
          <w:szCs w:val="24"/>
          <w:lang w:eastAsia="ru-RU"/>
        </w:rPr>
        <w:t>Ведомственная структура  расходов бюджета Селявинского</w:t>
      </w:r>
      <w:r w:rsidRPr="008856D1">
        <w:rPr>
          <w:rFonts w:ascii="Times New Roman" w:eastAsia="Times New Roman" w:hAnsi="Times New Roman" w:cs="Times New Roman"/>
          <w:b/>
          <w:bCs/>
          <w:i/>
          <w:iCs/>
          <w:color w:val="0263B2"/>
          <w:kern w:val="36"/>
          <w:sz w:val="24"/>
          <w:szCs w:val="24"/>
          <w:lang w:eastAsia="ru-RU"/>
        </w:rPr>
        <w:t> </w:t>
      </w:r>
      <w:r w:rsidRPr="008856D1">
        <w:rPr>
          <w:rFonts w:ascii="Times New Roman" w:eastAsia="Times New Roman" w:hAnsi="Times New Roman" w:cs="Times New Roman"/>
          <w:b/>
          <w:bCs/>
          <w:color w:val="0263B2"/>
          <w:kern w:val="36"/>
          <w:sz w:val="24"/>
          <w:szCs w:val="24"/>
          <w:lang w:eastAsia="ru-RU"/>
        </w:rPr>
        <w:t>сельского поселения</w:t>
      </w:r>
      <w:r w:rsidRPr="008856D1">
        <w:rPr>
          <w:rFonts w:ascii="Times New Roman" w:eastAsia="Times New Roman" w:hAnsi="Times New Roman" w:cs="Times New Roman"/>
          <w:b/>
          <w:bCs/>
          <w:i/>
          <w:iCs/>
          <w:color w:val="0263B2"/>
          <w:kern w:val="36"/>
          <w:sz w:val="24"/>
          <w:szCs w:val="24"/>
          <w:lang w:eastAsia="ru-RU"/>
        </w:rPr>
        <w:t>   </w:t>
      </w:r>
      <w:r w:rsidRPr="008856D1">
        <w:rPr>
          <w:rFonts w:ascii="Times New Roman" w:eastAsia="Times New Roman" w:hAnsi="Times New Roman" w:cs="Times New Roman"/>
          <w:b/>
          <w:bCs/>
          <w:color w:val="0263B2"/>
          <w:kern w:val="36"/>
          <w:sz w:val="24"/>
          <w:szCs w:val="24"/>
          <w:lang w:eastAsia="ru-RU"/>
        </w:rPr>
        <w:t>Лискинского муниципального района Воронежской области на 2011 год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tbl>
      <w:tblPr>
        <w:tblW w:w="4900" w:type="pct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692"/>
        <w:gridCol w:w="521"/>
        <w:gridCol w:w="705"/>
        <w:gridCol w:w="979"/>
        <w:gridCol w:w="613"/>
        <w:gridCol w:w="1308"/>
        <w:gridCol w:w="338"/>
      </w:tblGrid>
      <w:tr w:rsidR="008856D1" w:rsidRPr="008856D1" w:rsidTr="008856D1">
        <w:trPr>
          <w:trHeight w:val="230"/>
        </w:trPr>
        <w:tc>
          <w:tcPr>
            <w:tcW w:w="2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Сумма (тыс.рублей)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856D1" w:rsidRPr="008856D1" w:rsidTr="008856D1">
        <w:trPr>
          <w:trHeight w:val="5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rPr>
          <w:trHeight w:val="382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5525,6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856D1" w:rsidRPr="008856D1" w:rsidTr="008856D1">
        <w:trPr>
          <w:trHeight w:val="876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color w:val="0263B2"/>
                <w:lang w:eastAsia="ru-RU"/>
              </w:rPr>
              <w:t>Администрация  Селявинского сельского поселения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  <w:lang w:eastAsia="ru-RU"/>
              </w:rPr>
              <w:t>914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color w:val="0263B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  <w:lang w:eastAsia="ru-RU"/>
              </w:rPr>
              <w:t>5525,6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856D1" w:rsidRPr="008856D1" w:rsidTr="008856D1">
        <w:trPr>
          <w:trHeight w:val="351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36"/>
                <w:szCs w:val="36"/>
                <w:lang w:eastAsia="ru-RU"/>
              </w:rPr>
              <w:t>Общегосударственные вопросы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1293,2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Функционирование исполнительной власти местных администраций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582,7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Глава исполнительной власти местного  самоуправления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0020800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Резервный фонды местных администраций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0700500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rPr>
          <w:trHeight w:val="28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36"/>
                <w:szCs w:val="36"/>
                <w:lang w:eastAsia="ru-RU"/>
              </w:rPr>
              <w:t>Другие общегосударственные вопросы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 w:eastAsia="ru-RU"/>
              </w:rPr>
              <w:t>2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0930000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rPr>
          <w:trHeight w:val="49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36"/>
                <w:szCs w:val="36"/>
                <w:lang w:eastAsia="ru-RU"/>
              </w:rPr>
              <w:t>Национальная оборона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val="en-US" w:eastAsia="ru-RU"/>
              </w:rPr>
              <w:t>52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52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52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52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36"/>
                <w:szCs w:val="3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rPr>
          <w:trHeight w:val="8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Предупреждение и ликвидация  последствий чрезвычайных ситуаций  природного и техногенного характера,                     гражданская оборона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rPr>
          <w:trHeight w:val="433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2190000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2190100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2190100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Реализация других функций ,связанных с обеспечением национальной безопасности и правоохранительной деятельности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Другие вопросы в области нац. экономики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5226100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Оплата работ и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5226100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5226100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0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2926,8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Благоустройств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2926,8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2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2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Выполнение функций органами местного самоуправления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Строительство и содержание автомобильных дорог  и инженерных сооружений на них в границах поселений в рамках благоустройства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1941,9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1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941,9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Выполнение функций органами местного самоуправления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Выполнение функций органами местного самоуправления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697,1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5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Выполнение функций органами местного самоуправления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Культура , кинематография и средства массовой информации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1161,2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1065,9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Дворцы ,дома культуры и др. клубные учреждения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1065,9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Обеспечение деятельности подведомственных учреждение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1065,9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9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9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val="en-US" w:eastAsia="ru-RU"/>
              </w:rPr>
              <w:t>3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3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3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0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0650300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ru-RU"/>
              </w:rPr>
              <w:t>0</w:t>
            </w: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0650300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856D1" w:rsidRPr="008856D1" w:rsidTr="008856D1"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3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«7»  февраля  2012 г. № 70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9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ind w:firstLine="82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«15»  ноября  2011 г. № 18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8856D1" w:rsidRPr="008856D1" w:rsidRDefault="008856D1" w:rsidP="008856D1">
      <w:pPr>
        <w:shd w:val="clear" w:color="auto" w:fill="FFFFFF"/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856D1">
        <w:rPr>
          <w:rFonts w:ascii="Times New Roman" w:eastAsia="Times New Roman" w:hAnsi="Times New Roman" w:cs="Times New Roman"/>
          <w:b/>
          <w:bCs/>
          <w:color w:val="0263B2"/>
          <w:kern w:val="36"/>
          <w:sz w:val="24"/>
          <w:szCs w:val="24"/>
          <w:lang w:eastAsia="ru-RU"/>
        </w:rPr>
        <w:t>Распределение бюджетных ассигнований  на  2011 год по разделам и подразделам, целевым статьям и видам расходов функциональной классификации расходов бюджета Селявинского сельского поселения</w:t>
      </w:r>
    </w:p>
    <w:tbl>
      <w:tblPr>
        <w:tblW w:w="47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635"/>
        <w:gridCol w:w="542"/>
        <w:gridCol w:w="995"/>
        <w:gridCol w:w="904"/>
        <w:gridCol w:w="1537"/>
      </w:tblGrid>
      <w:tr w:rsidR="008856D1" w:rsidRPr="008856D1" w:rsidTr="008856D1">
        <w:trPr>
          <w:trHeight w:val="382"/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          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color w:val="0263B2"/>
                <w:lang w:eastAsia="ru-RU"/>
              </w:rPr>
              <w:t>Рз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(тыс.рублей)</w:t>
            </w:r>
          </w:p>
        </w:tc>
      </w:tr>
      <w:tr w:rsidR="008856D1" w:rsidRPr="008856D1" w:rsidTr="008856D1">
        <w:trPr>
          <w:trHeight w:val="226"/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</w:t>
            </w: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 6</w:t>
            </w:r>
          </w:p>
        </w:tc>
      </w:tr>
      <w:tr w:rsidR="008856D1" w:rsidRPr="008856D1" w:rsidTr="008856D1">
        <w:trPr>
          <w:trHeight w:val="382"/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5525,6</w:t>
            </w:r>
          </w:p>
        </w:tc>
      </w:tr>
      <w:tr w:rsidR="008856D1" w:rsidRPr="008856D1" w:rsidTr="008856D1">
        <w:trPr>
          <w:trHeight w:val="351"/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36"/>
                <w:szCs w:val="36"/>
                <w:lang w:eastAsia="ru-RU"/>
              </w:rPr>
              <w:t>Общегосударственные вопросы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1293,2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исполнительной власти местных администраций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1039,4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582,7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исполнительной власти местного  самоуправления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456,7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36"/>
                <w:szCs w:val="36"/>
                <w:lang w:eastAsia="ru-RU"/>
              </w:rPr>
              <w:t>Другие общегосударственные вопросы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253,8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253,8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253,8</w:t>
            </w:r>
          </w:p>
        </w:tc>
      </w:tr>
      <w:tr w:rsidR="008856D1" w:rsidRPr="008856D1" w:rsidTr="008856D1">
        <w:trPr>
          <w:trHeight w:val="490"/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36"/>
                <w:szCs w:val="36"/>
                <w:lang w:eastAsia="ru-RU"/>
              </w:rPr>
              <w:t>Национальная оборона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52,8</w:t>
            </w:r>
          </w:p>
        </w:tc>
      </w:tr>
      <w:tr w:rsidR="008856D1" w:rsidRPr="008856D1" w:rsidTr="008856D1">
        <w:trPr>
          <w:trHeight w:val="384"/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Осуществление первичного воинского учёта на территориях,где отсутствуют военные комиссариаты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b/>
                <w:bCs/>
                <w:i/>
                <w:iCs/>
                <w:color w:val="0263B2"/>
                <w:sz w:val="36"/>
                <w:szCs w:val="3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6,9</w:t>
            </w:r>
          </w:p>
        </w:tc>
      </w:tr>
      <w:tr w:rsidR="008856D1" w:rsidRPr="008856D1" w:rsidTr="008856D1">
        <w:trPr>
          <w:trHeight w:val="830"/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Предупреждение и ликвидация  последствий чрезвычайных ситуаций  природного и техногенного характера,                     гражданская оборона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trHeight w:val="433"/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outlineLvl w:val="1"/>
              <w:rPr>
                <w:rFonts w:ascii="Montserrat" w:eastAsia="Times New Roman" w:hAnsi="Montserrat" w:cs="Times New Roman"/>
                <w:b/>
                <w:bCs/>
                <w:color w:val="0263B2"/>
                <w:sz w:val="36"/>
                <w:szCs w:val="36"/>
                <w:lang w:eastAsia="ru-RU"/>
              </w:rPr>
            </w:pPr>
            <w:r w:rsidRPr="008856D1">
              <w:rPr>
                <w:rFonts w:ascii="Montserrat" w:eastAsia="Times New Roman" w:hAnsi="Montserrat" w:cs="Times New Roman"/>
                <w:color w:val="0263B2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6,9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других функций ,связанных с обеспечением национальной безопасности и правоохранительной деятельности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вопросы в области нац.экономики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49,3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 и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2926,8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2926,8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Строительство и содержание автомобильных дорог  и инженерных сооружений на них в границах поселений в рамках благоустройства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1941,9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1941,9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697,1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542,1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1161,2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1065,9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Дворцы ,дома культуры и др. клубные учреждения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1065,9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1065,9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35,4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56D1" w:rsidRPr="008856D1" w:rsidTr="008856D1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6D1" w:rsidRPr="008856D1" w:rsidRDefault="008856D1" w:rsidP="008856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856D1" w:rsidRPr="008856D1" w:rsidRDefault="008856D1" w:rsidP="00885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6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8"/>
    <w:rsid w:val="002C1C48"/>
    <w:rsid w:val="008856D1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DA040-DB49-4229-98E5-6C6F240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2163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2024-04-05T05:30:00Z</dcterms:created>
  <dcterms:modified xsi:type="dcterms:W3CDTF">2024-04-05T05:31:00Z</dcterms:modified>
</cp:coreProperties>
</file>