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46E8" w14:textId="77777777" w:rsidR="00921202" w:rsidRPr="00921202" w:rsidRDefault="00921202" w:rsidP="00921202">
      <w:r w:rsidRPr="00921202">
        <w:rPr>
          <w:b/>
          <w:bCs/>
        </w:rPr>
        <w:t>АДМИНИСТРАЦИЯ</w:t>
      </w:r>
      <w:r w:rsidRPr="00921202">
        <w:t xml:space="preserve"> </w:t>
      </w:r>
    </w:p>
    <w:p w14:paraId="675D07FF" w14:textId="77777777" w:rsidR="00921202" w:rsidRPr="00921202" w:rsidRDefault="00921202" w:rsidP="00921202">
      <w:r w:rsidRPr="00921202">
        <w:rPr>
          <w:b/>
          <w:bCs/>
        </w:rPr>
        <w:t>СЕЛЯВИНСКОГО СЕЛЬСКОГО  ПОСЕЛЕНИЯ</w:t>
      </w:r>
      <w:r w:rsidRPr="00921202">
        <w:t xml:space="preserve"> </w:t>
      </w:r>
    </w:p>
    <w:p w14:paraId="7708BA0B" w14:textId="77777777" w:rsidR="00921202" w:rsidRPr="00921202" w:rsidRDefault="00921202" w:rsidP="00921202">
      <w:r w:rsidRPr="00921202">
        <w:rPr>
          <w:b/>
          <w:bCs/>
        </w:rPr>
        <w:t>ЛИНСКИНСКОГО  МУНИЦИПАЛЬНОГО  РАЙОНА</w:t>
      </w:r>
      <w:r w:rsidRPr="00921202">
        <w:t xml:space="preserve"> </w:t>
      </w:r>
    </w:p>
    <w:p w14:paraId="24D6343B" w14:textId="77777777" w:rsidR="00921202" w:rsidRPr="00921202" w:rsidRDefault="00921202" w:rsidP="00921202">
      <w:r w:rsidRPr="00921202">
        <w:rPr>
          <w:b/>
          <w:bCs/>
        </w:rPr>
        <w:t>ВОРОНЕЖСКОЙ  ОБЛАСТИ</w:t>
      </w:r>
      <w:r w:rsidRPr="00921202">
        <w:t xml:space="preserve"> </w:t>
      </w:r>
    </w:p>
    <w:p w14:paraId="489E7534" w14:textId="77777777" w:rsidR="00921202" w:rsidRPr="00921202" w:rsidRDefault="00921202" w:rsidP="00921202">
      <w:r w:rsidRPr="00921202">
        <w:t xml:space="preserve">_____________________________________________ </w:t>
      </w:r>
    </w:p>
    <w:p w14:paraId="02032775" w14:textId="77777777" w:rsidR="00921202" w:rsidRPr="00921202" w:rsidRDefault="00921202" w:rsidP="00921202">
      <w:r w:rsidRPr="00921202">
        <w:rPr>
          <w:b/>
          <w:bCs/>
        </w:rPr>
        <w:t> </w:t>
      </w:r>
      <w:r w:rsidRPr="00921202">
        <w:t xml:space="preserve"> </w:t>
      </w:r>
    </w:p>
    <w:p w14:paraId="4E0D65A1" w14:textId="77777777" w:rsidR="00921202" w:rsidRPr="00921202" w:rsidRDefault="00921202" w:rsidP="00921202">
      <w:r w:rsidRPr="00921202">
        <w:rPr>
          <w:b/>
          <w:bCs/>
        </w:rPr>
        <w:t>ПОСТАНОВЛЕНИЕ</w:t>
      </w:r>
      <w:r w:rsidRPr="00921202">
        <w:t xml:space="preserve"> </w:t>
      </w:r>
    </w:p>
    <w:p w14:paraId="7300BF2F" w14:textId="77777777" w:rsidR="00921202" w:rsidRPr="00921202" w:rsidRDefault="00921202" w:rsidP="00921202">
      <w:r w:rsidRPr="00921202">
        <w:rPr>
          <w:b/>
          <w:bCs/>
        </w:rPr>
        <w:t> </w:t>
      </w:r>
      <w:r w:rsidRPr="00921202">
        <w:t xml:space="preserve"> </w:t>
      </w:r>
    </w:p>
    <w:p w14:paraId="7EB35BEA" w14:textId="77777777" w:rsidR="00921202" w:rsidRPr="00921202" w:rsidRDefault="00921202" w:rsidP="00921202">
      <w:r w:rsidRPr="00921202">
        <w:rPr>
          <w:b/>
          <w:bCs/>
        </w:rPr>
        <w:t> </w:t>
      </w:r>
      <w:r w:rsidRPr="00921202">
        <w:t xml:space="preserve"> </w:t>
      </w:r>
    </w:p>
    <w:p w14:paraId="41DA2B4D" w14:textId="77777777" w:rsidR="00921202" w:rsidRPr="00921202" w:rsidRDefault="00921202" w:rsidP="00921202">
      <w:r w:rsidRPr="00921202">
        <w:rPr>
          <w:b/>
          <w:bCs/>
          <w:u w:val="single"/>
        </w:rPr>
        <w:t xml:space="preserve">от </w:t>
      </w:r>
      <w:r w:rsidRPr="00921202">
        <w:rPr>
          <w:u w:val="single"/>
        </w:rPr>
        <w:t> </w:t>
      </w:r>
      <w:r w:rsidRPr="00921202">
        <w:rPr>
          <w:b/>
          <w:bCs/>
          <w:u w:val="single"/>
        </w:rPr>
        <w:t>«15»  января  2015 г.  №  2                 </w:t>
      </w:r>
      <w:r w:rsidRPr="00921202">
        <w:t xml:space="preserve"> </w:t>
      </w:r>
    </w:p>
    <w:p w14:paraId="69BBF639" w14:textId="77777777" w:rsidR="00921202" w:rsidRPr="00921202" w:rsidRDefault="00921202" w:rsidP="00921202">
      <w:r w:rsidRPr="00921202">
        <w:t xml:space="preserve">                    с. Селявное </w:t>
      </w:r>
    </w:p>
    <w:p w14:paraId="6AE1CCF5" w14:textId="77777777" w:rsidR="00921202" w:rsidRPr="00921202" w:rsidRDefault="00921202" w:rsidP="00921202">
      <w:r w:rsidRPr="00921202">
        <w:t xml:space="preserve">  </w:t>
      </w:r>
    </w:p>
    <w:p w14:paraId="7380D48D" w14:textId="77777777" w:rsidR="00921202" w:rsidRPr="00921202" w:rsidRDefault="00921202" w:rsidP="00921202">
      <w:r w:rsidRPr="00921202">
        <w:rPr>
          <w:b/>
          <w:bCs/>
        </w:rPr>
        <w:t> </w:t>
      </w:r>
      <w:r w:rsidRPr="00921202">
        <w:t xml:space="preserve"> </w:t>
      </w:r>
    </w:p>
    <w:p w14:paraId="306727AD" w14:textId="77777777" w:rsidR="00921202" w:rsidRPr="00921202" w:rsidRDefault="00921202" w:rsidP="00921202">
      <w:r w:rsidRPr="00921202">
        <w:rPr>
          <w:b/>
          <w:bCs/>
        </w:rPr>
        <w:t xml:space="preserve">О  внесении изменений в постановление администрации Селявинского сельского поселения Лискинского муниципального района Воронежской области от 22.05.2014г № 22 </w:t>
      </w:r>
    </w:p>
    <w:p w14:paraId="0069D478" w14:textId="77777777" w:rsidR="00921202" w:rsidRPr="00921202" w:rsidRDefault="00921202" w:rsidP="00921202">
      <w:r w:rsidRPr="00921202">
        <w:t xml:space="preserve">  </w:t>
      </w:r>
    </w:p>
    <w:p w14:paraId="7708B10B" w14:textId="77777777" w:rsidR="00921202" w:rsidRPr="00921202" w:rsidRDefault="00921202" w:rsidP="00921202">
      <w:r w:rsidRPr="00921202">
        <w:t>           В целях приведения муниципальных правовых актов в соответствие действующему законодательству,   администрация Селявинского сельского поселения Лискинского муниципального района Воронежской области                        </w:t>
      </w:r>
      <w:r w:rsidRPr="00921202">
        <w:rPr>
          <w:b/>
          <w:bCs/>
        </w:rPr>
        <w:t>п о с т а н о в л я е т :</w:t>
      </w:r>
      <w:r w:rsidRPr="00921202">
        <w:t xml:space="preserve"> </w:t>
      </w:r>
    </w:p>
    <w:p w14:paraId="237CEEB5" w14:textId="77777777" w:rsidR="00921202" w:rsidRPr="00921202" w:rsidRDefault="00921202" w:rsidP="00921202">
      <w:r w:rsidRPr="00921202">
        <w:t xml:space="preserve">1. Внести в Порядок оформления разрешений на правомерное уничтожение и повреждение зеленых насаждений на территории Селявинского сельского поселения, утвержденный постановлением администрации Селявинского сельского поселения Лискинского муниципального района Воронежской области от 22.05.2014г № 22 «Об утверждении Порядка оформления разрешений на правомерное уничтожение и повреждение зеленых насаждений на территории Селявинского сельского поселения» следующие изменения: </w:t>
      </w:r>
    </w:p>
    <w:p w14:paraId="0ADE536C" w14:textId="77777777" w:rsidR="00921202" w:rsidRPr="00921202" w:rsidRDefault="00921202" w:rsidP="00921202">
      <w:r w:rsidRPr="00921202">
        <w:t xml:space="preserve">1.1.         Приложение 2 изложить в новой редакции согласно приложению к настоящему постановлению. </w:t>
      </w:r>
    </w:p>
    <w:p w14:paraId="0E331C85" w14:textId="77777777" w:rsidR="00921202" w:rsidRPr="00921202" w:rsidRDefault="00921202" w:rsidP="00921202">
      <w:r w:rsidRPr="00921202">
        <w:t xml:space="preserve">2. Контроль за исполнением настоящего постановления оставляю за собой. </w:t>
      </w:r>
    </w:p>
    <w:p w14:paraId="59D9DC54" w14:textId="77777777" w:rsidR="00921202" w:rsidRPr="00921202" w:rsidRDefault="00921202" w:rsidP="00921202">
      <w:r w:rsidRPr="00921202">
        <w:t xml:space="preserve">  </w:t>
      </w:r>
    </w:p>
    <w:p w14:paraId="15E65D55" w14:textId="77777777" w:rsidR="00921202" w:rsidRPr="00921202" w:rsidRDefault="00921202" w:rsidP="00921202">
      <w:r w:rsidRPr="00921202">
        <w:t xml:space="preserve">Глава  Селявинского </w:t>
      </w:r>
    </w:p>
    <w:p w14:paraId="41973F0D" w14:textId="77777777" w:rsidR="00921202" w:rsidRPr="00921202" w:rsidRDefault="00921202" w:rsidP="00921202">
      <w:r w:rsidRPr="00921202">
        <w:t xml:space="preserve">сельского поселения                                                             А.Н. Семченко                                                             </w:t>
      </w:r>
    </w:p>
    <w:p w14:paraId="625A9FE6" w14:textId="77777777" w:rsidR="00921202" w:rsidRPr="00921202" w:rsidRDefault="00921202" w:rsidP="00921202">
      <w:r w:rsidRPr="00921202">
        <w:t xml:space="preserve">Приложение </w:t>
      </w:r>
    </w:p>
    <w:p w14:paraId="49B53403" w14:textId="77777777" w:rsidR="00921202" w:rsidRPr="00921202" w:rsidRDefault="00921202" w:rsidP="00921202">
      <w:r w:rsidRPr="00921202">
        <w:t xml:space="preserve">к постановлению администрации </w:t>
      </w:r>
    </w:p>
    <w:p w14:paraId="479941CA" w14:textId="77777777" w:rsidR="00921202" w:rsidRPr="00921202" w:rsidRDefault="00921202" w:rsidP="00921202">
      <w:r w:rsidRPr="00921202">
        <w:t xml:space="preserve">Селявинского сельского поселения </w:t>
      </w:r>
    </w:p>
    <w:p w14:paraId="5D7DAF08" w14:textId="77777777" w:rsidR="00921202" w:rsidRPr="00921202" w:rsidRDefault="00921202" w:rsidP="00921202">
      <w:r w:rsidRPr="00921202">
        <w:t xml:space="preserve">Лискинского муниципального района </w:t>
      </w:r>
    </w:p>
    <w:p w14:paraId="39B0BF24" w14:textId="77777777" w:rsidR="00921202" w:rsidRPr="00921202" w:rsidRDefault="00921202" w:rsidP="00921202">
      <w:r w:rsidRPr="00921202">
        <w:lastRenderedPageBreak/>
        <w:t xml:space="preserve">Воронежской области </w:t>
      </w:r>
    </w:p>
    <w:p w14:paraId="4CA19DDF" w14:textId="77777777" w:rsidR="00921202" w:rsidRPr="00921202" w:rsidRDefault="00921202" w:rsidP="00921202">
      <w:r w:rsidRPr="00921202">
        <w:t xml:space="preserve">  </w:t>
      </w:r>
    </w:p>
    <w:p w14:paraId="6F324D06" w14:textId="77777777" w:rsidR="00921202" w:rsidRPr="00921202" w:rsidRDefault="00921202" w:rsidP="00921202">
      <w:r w:rsidRPr="00921202">
        <w:rPr>
          <w:u w:val="single"/>
        </w:rPr>
        <w:t>от «15» января 2015г  №  2</w:t>
      </w:r>
      <w:r w:rsidRPr="00921202">
        <w:t xml:space="preserve"> </w:t>
      </w:r>
    </w:p>
    <w:p w14:paraId="77C1D749" w14:textId="77777777" w:rsidR="00921202" w:rsidRPr="00921202" w:rsidRDefault="00921202" w:rsidP="00921202">
      <w:r w:rsidRPr="00921202">
        <w:rPr>
          <w:u w:val="single"/>
        </w:rPr>
        <w:t> </w:t>
      </w:r>
      <w:r w:rsidRPr="00921202">
        <w:t xml:space="preserve"> </w:t>
      </w:r>
    </w:p>
    <w:p w14:paraId="626D1250" w14:textId="77777777" w:rsidR="00921202" w:rsidRPr="00921202" w:rsidRDefault="00921202" w:rsidP="00921202">
      <w:r w:rsidRPr="00921202">
        <w:t xml:space="preserve">Приложение  2 </w:t>
      </w:r>
    </w:p>
    <w:p w14:paraId="0D647E94" w14:textId="77777777" w:rsidR="00921202" w:rsidRPr="00921202" w:rsidRDefault="00921202" w:rsidP="00921202">
      <w:r w:rsidRPr="00921202">
        <w:t xml:space="preserve">к Порядку оформления разрешений </w:t>
      </w:r>
    </w:p>
    <w:p w14:paraId="63589C60" w14:textId="77777777" w:rsidR="00921202" w:rsidRPr="00921202" w:rsidRDefault="00921202" w:rsidP="00921202">
      <w:r w:rsidRPr="00921202">
        <w:t xml:space="preserve">на правомерное уничтожение   </w:t>
      </w:r>
    </w:p>
    <w:p w14:paraId="5973F9F2" w14:textId="77777777" w:rsidR="00921202" w:rsidRPr="00921202" w:rsidRDefault="00921202" w:rsidP="00921202">
      <w:r w:rsidRPr="00921202">
        <w:t xml:space="preserve">и повреждение зеленых </w:t>
      </w:r>
    </w:p>
    <w:p w14:paraId="5148A868" w14:textId="77777777" w:rsidR="00921202" w:rsidRPr="00921202" w:rsidRDefault="00921202" w:rsidP="00921202">
      <w:r w:rsidRPr="00921202">
        <w:t xml:space="preserve">насаждений на территории </w:t>
      </w:r>
    </w:p>
    <w:p w14:paraId="6B718268" w14:textId="77777777" w:rsidR="00921202" w:rsidRPr="00921202" w:rsidRDefault="00921202" w:rsidP="00921202">
      <w:r w:rsidRPr="00921202">
        <w:t xml:space="preserve">Селявинского сельского поселения </w:t>
      </w:r>
    </w:p>
    <w:p w14:paraId="7CA4CDCF" w14:textId="77777777" w:rsidR="00921202" w:rsidRPr="00921202" w:rsidRDefault="00921202" w:rsidP="00921202">
      <w:r w:rsidRPr="00921202">
        <w:rPr>
          <w:u w:val="single"/>
        </w:rPr>
        <w:t> </w:t>
      </w:r>
      <w:r w:rsidRPr="00921202">
        <w:t xml:space="preserve"> </w:t>
      </w:r>
    </w:p>
    <w:p w14:paraId="59786C1E" w14:textId="77777777" w:rsidR="00921202" w:rsidRPr="00921202" w:rsidRDefault="00921202" w:rsidP="00921202">
      <w:r w:rsidRPr="00921202">
        <w:rPr>
          <w:u w:val="single"/>
        </w:rPr>
        <w:t> </w:t>
      </w:r>
      <w:r w:rsidRPr="00921202">
        <w:t xml:space="preserve"> </w:t>
      </w:r>
    </w:p>
    <w:p w14:paraId="7BD8A6B8" w14:textId="77777777" w:rsidR="00921202" w:rsidRPr="00921202" w:rsidRDefault="00921202" w:rsidP="00921202">
      <w:r w:rsidRPr="00921202">
        <w:rPr>
          <w:b/>
          <w:bCs/>
        </w:rPr>
        <w:t xml:space="preserve">ПОРЯДОК </w:t>
      </w:r>
    </w:p>
    <w:p w14:paraId="4180C94B" w14:textId="77777777" w:rsidR="00921202" w:rsidRPr="00921202" w:rsidRDefault="00921202" w:rsidP="00921202">
      <w:r w:rsidRPr="00921202">
        <w:rPr>
          <w:b/>
          <w:bCs/>
        </w:rPr>
        <w:t>расчета компенсационной стоимости зеленых насаждений</w:t>
      </w:r>
      <w:r w:rsidRPr="00921202">
        <w:t xml:space="preserve"> </w:t>
      </w:r>
    </w:p>
    <w:p w14:paraId="04B7242E" w14:textId="77777777" w:rsidR="00921202" w:rsidRPr="00921202" w:rsidRDefault="00921202" w:rsidP="00921202">
      <w:r w:rsidRPr="00921202">
        <w:rPr>
          <w:b/>
          <w:bCs/>
        </w:rPr>
        <w:t> </w:t>
      </w:r>
      <w:r w:rsidRPr="00921202">
        <w:t xml:space="preserve"> </w:t>
      </w:r>
    </w:p>
    <w:p w14:paraId="00F3BBB3" w14:textId="77777777" w:rsidR="00921202" w:rsidRPr="00921202" w:rsidRDefault="00921202" w:rsidP="00921202">
      <w:r w:rsidRPr="00921202">
        <w:rPr>
          <w:b/>
          <w:bCs/>
        </w:rPr>
        <w:t>1. Общие положения</w:t>
      </w:r>
      <w:r w:rsidRPr="00921202">
        <w:t xml:space="preserve"> </w:t>
      </w:r>
    </w:p>
    <w:p w14:paraId="21748457" w14:textId="77777777" w:rsidR="00921202" w:rsidRPr="00921202" w:rsidRDefault="00921202" w:rsidP="00921202">
      <w:r w:rsidRPr="00921202">
        <w:t xml:space="preserve">1.1. Порядок применяется: </w:t>
      </w:r>
    </w:p>
    <w:p w14:paraId="0E05CDEF" w14:textId="77777777" w:rsidR="00921202" w:rsidRPr="00921202" w:rsidRDefault="00921202" w:rsidP="00921202">
      <w:r w:rsidRPr="00921202">
        <w:t xml:space="preserve">¾   при исчислении размера компенсационных платежей за правомерное уничтожение и повреждение зеленых насаждений; </w:t>
      </w:r>
    </w:p>
    <w:p w14:paraId="0FB9FE04" w14:textId="77777777" w:rsidR="00921202" w:rsidRPr="00921202" w:rsidRDefault="00921202" w:rsidP="00921202">
      <w:r w:rsidRPr="00921202">
        <w:t xml:space="preserve">¾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 </w:t>
      </w:r>
    </w:p>
    <w:p w14:paraId="6D52936A" w14:textId="77777777" w:rsidR="00921202" w:rsidRPr="00921202" w:rsidRDefault="00921202" w:rsidP="00921202">
      <w:r w:rsidRPr="00921202">
        <w:t xml:space="preserve">¾   при необходимости определения стоимости зеленых насаждений. </w:t>
      </w:r>
    </w:p>
    <w:p w14:paraId="13EE354C" w14:textId="77777777" w:rsidR="00921202" w:rsidRPr="00921202" w:rsidRDefault="00921202" w:rsidP="00921202">
      <w:r w:rsidRPr="00921202">
        <w:t xml:space="preserve">  </w:t>
      </w:r>
    </w:p>
    <w:p w14:paraId="347F5025" w14:textId="77777777" w:rsidR="00921202" w:rsidRPr="00921202" w:rsidRDefault="00921202" w:rsidP="00921202">
      <w:r w:rsidRPr="00921202">
        <w:rPr>
          <w:b/>
          <w:bCs/>
        </w:rPr>
        <w:t>2. Расчет восстановительной стоимости</w:t>
      </w:r>
      <w:r w:rsidRPr="00921202">
        <w:t xml:space="preserve"> </w:t>
      </w:r>
    </w:p>
    <w:p w14:paraId="13326360" w14:textId="77777777" w:rsidR="00921202" w:rsidRPr="00921202" w:rsidRDefault="00921202" w:rsidP="00921202">
      <w:r w:rsidRPr="00921202">
        <w:t xml:space="preserve">2.1. Расчет показателя восстановительной стоимости производится отдельно для следующих категорий зеленых насаждений: </w:t>
      </w:r>
    </w:p>
    <w:p w14:paraId="0F1B1BBE" w14:textId="77777777" w:rsidR="00921202" w:rsidRPr="00921202" w:rsidRDefault="00921202" w:rsidP="00921202">
      <w:r w:rsidRPr="00921202">
        <w:t xml:space="preserve">¾   деревья; </w:t>
      </w:r>
    </w:p>
    <w:p w14:paraId="1E03EE8A" w14:textId="77777777" w:rsidR="00921202" w:rsidRPr="00921202" w:rsidRDefault="00921202" w:rsidP="00921202">
      <w:r w:rsidRPr="00921202">
        <w:t xml:space="preserve">¾   кустарники; </w:t>
      </w:r>
    </w:p>
    <w:p w14:paraId="17E2E58C" w14:textId="77777777" w:rsidR="00921202" w:rsidRPr="00921202" w:rsidRDefault="00921202" w:rsidP="00921202">
      <w:r w:rsidRPr="00921202">
        <w:t xml:space="preserve">¾   газоны; </w:t>
      </w:r>
    </w:p>
    <w:p w14:paraId="768CF549" w14:textId="77777777" w:rsidR="00921202" w:rsidRPr="00921202" w:rsidRDefault="00921202" w:rsidP="00921202">
      <w:r w:rsidRPr="00921202">
        <w:t xml:space="preserve">¾   цветники. </w:t>
      </w:r>
    </w:p>
    <w:p w14:paraId="18AAF206" w14:textId="77777777" w:rsidR="00921202" w:rsidRPr="00921202" w:rsidRDefault="00921202" w:rsidP="00921202">
      <w:r w:rsidRPr="00921202">
        <w:t xml:space="preserve">2.2. Расчет восстановительной стоимости производится по следующей формуле: </w:t>
      </w:r>
    </w:p>
    <w:p w14:paraId="7113976F" w14:textId="77777777" w:rsidR="00921202" w:rsidRPr="00921202" w:rsidRDefault="00921202" w:rsidP="00921202">
      <w:r w:rsidRPr="00921202">
        <w:t xml:space="preserve">  </w:t>
      </w:r>
    </w:p>
    <w:p w14:paraId="17A57390" w14:textId="77777777" w:rsidR="00921202" w:rsidRPr="00921202" w:rsidRDefault="00921202" w:rsidP="00921202">
      <w:r w:rsidRPr="00921202">
        <w:t>    С</w:t>
      </w:r>
      <w:r w:rsidRPr="00921202">
        <w:rPr>
          <w:vertAlign w:val="subscript"/>
        </w:rPr>
        <w:t>в</w:t>
      </w:r>
      <w:r w:rsidRPr="00921202">
        <w:t>  = С</w:t>
      </w:r>
      <w:r w:rsidRPr="00921202">
        <w:rPr>
          <w:vertAlign w:val="subscript"/>
        </w:rPr>
        <w:t>п</w:t>
      </w:r>
      <w:r w:rsidRPr="00921202">
        <w:t>  + З</w:t>
      </w:r>
      <w:r w:rsidRPr="00921202">
        <w:rPr>
          <w:vertAlign w:val="subscript"/>
        </w:rPr>
        <w:t>е</w:t>
      </w:r>
      <w:r w:rsidRPr="00921202">
        <w:t>  + З</w:t>
      </w:r>
      <w:r w:rsidRPr="00921202">
        <w:rPr>
          <w:vertAlign w:val="subscript"/>
        </w:rPr>
        <w:t>у</w:t>
      </w:r>
      <w:r w:rsidRPr="00921202">
        <w:t xml:space="preserve"> , </w:t>
      </w:r>
    </w:p>
    <w:p w14:paraId="414F2711" w14:textId="77777777" w:rsidR="00921202" w:rsidRPr="00921202" w:rsidRDefault="00921202" w:rsidP="00921202">
      <w:r w:rsidRPr="00921202">
        <w:lastRenderedPageBreak/>
        <w:t xml:space="preserve">  </w:t>
      </w:r>
    </w:p>
    <w:p w14:paraId="149A8328" w14:textId="77777777" w:rsidR="00921202" w:rsidRPr="00921202" w:rsidRDefault="00921202" w:rsidP="00921202">
      <w:r w:rsidRPr="00921202">
        <w:t xml:space="preserve">    где: </w:t>
      </w:r>
    </w:p>
    <w:p w14:paraId="06A6500E" w14:textId="77777777" w:rsidR="00921202" w:rsidRPr="00921202" w:rsidRDefault="00921202" w:rsidP="00921202">
      <w:r w:rsidRPr="00921202">
        <w:t>    С</w:t>
      </w:r>
      <w:r w:rsidRPr="00921202">
        <w:rPr>
          <w:vertAlign w:val="subscript"/>
        </w:rPr>
        <w:t>в</w:t>
      </w:r>
      <w:r w:rsidRPr="00921202">
        <w:t xml:space="preserve">  - восстановительная стоимость; </w:t>
      </w:r>
    </w:p>
    <w:p w14:paraId="3559D73E" w14:textId="77777777" w:rsidR="00921202" w:rsidRPr="00921202" w:rsidRDefault="00921202" w:rsidP="00921202">
      <w:r w:rsidRPr="00921202">
        <w:t>    С</w:t>
      </w:r>
      <w:r w:rsidRPr="00921202">
        <w:rPr>
          <w:vertAlign w:val="subscript"/>
        </w:rPr>
        <w:t>п</w:t>
      </w:r>
      <w:r w:rsidRPr="00921202">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 </w:t>
      </w:r>
    </w:p>
    <w:p w14:paraId="52A33B2A" w14:textId="77777777" w:rsidR="00921202" w:rsidRPr="00921202" w:rsidRDefault="00921202" w:rsidP="00921202">
      <w:r w:rsidRPr="00921202">
        <w:t>    З</w:t>
      </w:r>
      <w:r w:rsidRPr="00921202">
        <w:rPr>
          <w:vertAlign w:val="subscript"/>
        </w:rPr>
        <w:t>е</w:t>
      </w:r>
      <w:r w:rsidRPr="00921202">
        <w:t xml:space="preserve">  - единовременные затраты по посадке деревьев, кустарников,  созданию газонов, цветников. </w:t>
      </w:r>
    </w:p>
    <w:p w14:paraId="5B21ABB3" w14:textId="77777777" w:rsidR="00921202" w:rsidRPr="00921202" w:rsidRDefault="00921202" w:rsidP="00921202">
      <w:r w:rsidRPr="00921202">
        <w:t xml:space="preserve">    Определяется как стоимость 1 человеко-часа: </w:t>
      </w:r>
    </w:p>
    <w:p w14:paraId="35C4CC04" w14:textId="77777777" w:rsidR="00921202" w:rsidRPr="00921202" w:rsidRDefault="00921202" w:rsidP="00921202">
      <w:r w:rsidRPr="00921202">
        <w:t>    З</w:t>
      </w:r>
      <w:r w:rsidRPr="00921202">
        <w:rPr>
          <w:vertAlign w:val="subscript"/>
        </w:rPr>
        <w:t xml:space="preserve">п </w:t>
      </w:r>
      <w:r w:rsidRPr="00921202">
        <w:t xml:space="preserve">: 3р (среднее число рабочих часов в месяц при 40-часовой рабочей неделе &lt;*&gt;) х  трудозатраты на создание зеленых насаждений и уход за ними, </w:t>
      </w:r>
    </w:p>
    <w:p w14:paraId="59D3950F" w14:textId="77777777" w:rsidR="00921202" w:rsidRPr="00921202" w:rsidRDefault="00921202" w:rsidP="00921202">
      <w:r w:rsidRPr="00921202">
        <w:t xml:space="preserve">    где: </w:t>
      </w:r>
    </w:p>
    <w:p w14:paraId="250A57F6" w14:textId="77777777" w:rsidR="00921202" w:rsidRPr="00921202" w:rsidRDefault="00921202" w:rsidP="00921202">
      <w:r w:rsidRPr="00921202">
        <w:t>    З</w:t>
      </w:r>
      <w:r w:rsidRPr="00921202">
        <w:rPr>
          <w:vertAlign w:val="subscript"/>
        </w:rPr>
        <w:t>п</w:t>
      </w:r>
      <w:r w:rsidRPr="00921202">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 </w:t>
      </w:r>
    </w:p>
    <w:p w14:paraId="18DD4758" w14:textId="77777777" w:rsidR="00921202" w:rsidRPr="00921202" w:rsidRDefault="00921202" w:rsidP="00921202">
      <w:r w:rsidRPr="00921202">
        <w:t>     З</w:t>
      </w:r>
      <w:r w:rsidRPr="00921202">
        <w:rPr>
          <w:vertAlign w:val="subscript"/>
        </w:rPr>
        <w:t>у</w:t>
      </w:r>
      <w:r w:rsidRPr="00921202">
        <w:t xml:space="preserve">  - затраты по уходу за насаждениями,  определяются  как  стоимость  1человеко-часа,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 </w:t>
      </w:r>
    </w:p>
    <w:p w14:paraId="7C06BFAD" w14:textId="77777777" w:rsidR="00921202" w:rsidRPr="00921202" w:rsidRDefault="00921202" w:rsidP="00921202">
      <w:r w:rsidRPr="00921202">
        <w:t xml:space="preserve">  </w:t>
      </w:r>
    </w:p>
    <w:p w14:paraId="29F43F58" w14:textId="77777777" w:rsidR="00921202" w:rsidRPr="00921202" w:rsidRDefault="00921202" w:rsidP="00921202">
      <w:r w:rsidRPr="00921202">
        <w:t xml:space="preserve">Для деревьев используется следующая шкала коэффициентов в зависимости от диаметра ствола на высоте 1,3 метра: </w:t>
      </w:r>
    </w:p>
    <w:p w14:paraId="1A2ED13D" w14:textId="77777777" w:rsidR="00921202" w:rsidRPr="00921202" w:rsidRDefault="00921202" w:rsidP="00921202">
      <w:r w:rsidRPr="00921202">
        <w:t xml:space="preserve">Таблица 1 </w:t>
      </w:r>
    </w:p>
    <w:tbl>
      <w:tblPr>
        <w:tblW w:w="0" w:type="auto"/>
        <w:tblCellMar>
          <w:left w:w="0" w:type="dxa"/>
          <w:right w:w="0" w:type="dxa"/>
        </w:tblCellMar>
        <w:tblLook w:val="04A0" w:firstRow="1" w:lastRow="0" w:firstColumn="1" w:lastColumn="0" w:noHBand="0" w:noVBand="1"/>
      </w:tblPr>
      <w:tblGrid>
        <w:gridCol w:w="3544"/>
        <w:gridCol w:w="1418"/>
        <w:gridCol w:w="1275"/>
        <w:gridCol w:w="1418"/>
        <w:gridCol w:w="1604"/>
      </w:tblGrid>
      <w:tr w:rsidR="00921202" w:rsidRPr="00921202" w14:paraId="68871F9E" w14:textId="77777777" w:rsidTr="00921202">
        <w:trPr>
          <w:trHeight w:val="240"/>
        </w:trPr>
        <w:tc>
          <w:tcPr>
            <w:tcW w:w="3544" w:type="dxa"/>
            <w:tcBorders>
              <w:top w:val="single" w:sz="8" w:space="0" w:color="auto"/>
              <w:left w:val="single" w:sz="8" w:space="0" w:color="auto"/>
              <w:bottom w:val="single" w:sz="8" w:space="0" w:color="auto"/>
            </w:tcBorders>
            <w:vAlign w:val="center"/>
            <w:hideMark/>
          </w:tcPr>
          <w:p w14:paraId="111DC277" w14:textId="77777777" w:rsidR="00921202" w:rsidRPr="00921202" w:rsidRDefault="00921202" w:rsidP="00921202">
            <w:r w:rsidRPr="00921202">
              <w:t xml:space="preserve">Диаметр, см </w:t>
            </w:r>
          </w:p>
        </w:tc>
        <w:tc>
          <w:tcPr>
            <w:tcW w:w="1418" w:type="dxa"/>
            <w:tcBorders>
              <w:top w:val="single" w:sz="8" w:space="0" w:color="auto"/>
              <w:left w:val="single" w:sz="8" w:space="0" w:color="auto"/>
              <w:bottom w:val="single" w:sz="8" w:space="0" w:color="auto"/>
            </w:tcBorders>
            <w:vAlign w:val="center"/>
            <w:hideMark/>
          </w:tcPr>
          <w:p w14:paraId="3DBA16A3" w14:textId="77777777" w:rsidR="00921202" w:rsidRPr="00921202" w:rsidRDefault="00921202" w:rsidP="00921202">
            <w:r w:rsidRPr="00921202">
              <w:t xml:space="preserve">До 10 </w:t>
            </w:r>
          </w:p>
        </w:tc>
        <w:tc>
          <w:tcPr>
            <w:tcW w:w="1275" w:type="dxa"/>
            <w:tcBorders>
              <w:top w:val="single" w:sz="8" w:space="0" w:color="auto"/>
              <w:left w:val="single" w:sz="8" w:space="0" w:color="auto"/>
              <w:bottom w:val="single" w:sz="8" w:space="0" w:color="auto"/>
            </w:tcBorders>
            <w:vAlign w:val="center"/>
            <w:hideMark/>
          </w:tcPr>
          <w:p w14:paraId="27034907" w14:textId="77777777" w:rsidR="00921202" w:rsidRPr="00921202" w:rsidRDefault="00921202" w:rsidP="00921202">
            <w:r w:rsidRPr="00921202">
              <w:t xml:space="preserve">10,1 - 20 </w:t>
            </w:r>
          </w:p>
        </w:tc>
        <w:tc>
          <w:tcPr>
            <w:tcW w:w="1418" w:type="dxa"/>
            <w:tcBorders>
              <w:top w:val="single" w:sz="8" w:space="0" w:color="auto"/>
              <w:left w:val="single" w:sz="8" w:space="0" w:color="auto"/>
              <w:bottom w:val="single" w:sz="8" w:space="0" w:color="auto"/>
            </w:tcBorders>
            <w:vAlign w:val="center"/>
            <w:hideMark/>
          </w:tcPr>
          <w:p w14:paraId="441554E7" w14:textId="77777777" w:rsidR="00921202" w:rsidRPr="00921202" w:rsidRDefault="00921202" w:rsidP="00921202">
            <w:r w:rsidRPr="00921202">
              <w:t xml:space="preserve">20,1 - 30 </w:t>
            </w:r>
          </w:p>
        </w:tc>
        <w:tc>
          <w:tcPr>
            <w:tcW w:w="1604" w:type="dxa"/>
            <w:tcBorders>
              <w:top w:val="single" w:sz="8" w:space="0" w:color="auto"/>
              <w:left w:val="single" w:sz="8" w:space="0" w:color="auto"/>
              <w:bottom w:val="single" w:sz="8" w:space="0" w:color="auto"/>
              <w:right w:val="single" w:sz="8" w:space="0" w:color="auto"/>
            </w:tcBorders>
            <w:vAlign w:val="center"/>
            <w:hideMark/>
          </w:tcPr>
          <w:p w14:paraId="01670713" w14:textId="77777777" w:rsidR="00921202" w:rsidRPr="00921202" w:rsidRDefault="00921202" w:rsidP="00921202">
            <w:r w:rsidRPr="00921202">
              <w:t xml:space="preserve">свыше 30 </w:t>
            </w:r>
          </w:p>
        </w:tc>
      </w:tr>
      <w:tr w:rsidR="00921202" w:rsidRPr="00921202" w14:paraId="6E73692A" w14:textId="77777777" w:rsidTr="00921202">
        <w:trPr>
          <w:trHeight w:val="240"/>
        </w:trPr>
        <w:tc>
          <w:tcPr>
            <w:tcW w:w="3544" w:type="dxa"/>
            <w:tcBorders>
              <w:left w:val="single" w:sz="8" w:space="0" w:color="auto"/>
              <w:bottom w:val="single" w:sz="8" w:space="0" w:color="auto"/>
            </w:tcBorders>
            <w:vAlign w:val="center"/>
            <w:hideMark/>
          </w:tcPr>
          <w:p w14:paraId="22D4E7B0" w14:textId="77777777" w:rsidR="00921202" w:rsidRPr="00921202" w:rsidRDefault="00921202" w:rsidP="00921202">
            <w:r w:rsidRPr="00921202">
              <w:t xml:space="preserve">Коэффициент </w:t>
            </w:r>
          </w:p>
        </w:tc>
        <w:tc>
          <w:tcPr>
            <w:tcW w:w="1418" w:type="dxa"/>
            <w:tcBorders>
              <w:left w:val="single" w:sz="8" w:space="0" w:color="auto"/>
              <w:bottom w:val="single" w:sz="8" w:space="0" w:color="auto"/>
            </w:tcBorders>
            <w:vAlign w:val="center"/>
            <w:hideMark/>
          </w:tcPr>
          <w:p w14:paraId="5CC91078" w14:textId="77777777" w:rsidR="00921202" w:rsidRPr="00921202" w:rsidRDefault="00921202" w:rsidP="00921202">
            <w:r w:rsidRPr="00921202">
              <w:t xml:space="preserve">3       </w:t>
            </w:r>
          </w:p>
        </w:tc>
        <w:tc>
          <w:tcPr>
            <w:tcW w:w="1275" w:type="dxa"/>
            <w:tcBorders>
              <w:left w:val="single" w:sz="8" w:space="0" w:color="auto"/>
              <w:bottom w:val="single" w:sz="8" w:space="0" w:color="auto"/>
            </w:tcBorders>
            <w:vAlign w:val="center"/>
            <w:hideMark/>
          </w:tcPr>
          <w:p w14:paraId="2889BB04" w14:textId="77777777" w:rsidR="00921202" w:rsidRPr="00921202" w:rsidRDefault="00921202" w:rsidP="00921202">
            <w:r w:rsidRPr="00921202">
              <w:t xml:space="preserve">4         </w:t>
            </w:r>
          </w:p>
        </w:tc>
        <w:tc>
          <w:tcPr>
            <w:tcW w:w="1418" w:type="dxa"/>
            <w:tcBorders>
              <w:left w:val="single" w:sz="8" w:space="0" w:color="auto"/>
              <w:bottom w:val="single" w:sz="8" w:space="0" w:color="auto"/>
            </w:tcBorders>
            <w:vAlign w:val="center"/>
            <w:hideMark/>
          </w:tcPr>
          <w:p w14:paraId="46D83FC0" w14:textId="77777777" w:rsidR="00921202" w:rsidRPr="00921202" w:rsidRDefault="00921202" w:rsidP="00921202">
            <w:r w:rsidRPr="00921202">
              <w:t xml:space="preserve">5        </w:t>
            </w:r>
          </w:p>
        </w:tc>
        <w:tc>
          <w:tcPr>
            <w:tcW w:w="1604" w:type="dxa"/>
            <w:tcBorders>
              <w:left w:val="single" w:sz="8" w:space="0" w:color="auto"/>
              <w:bottom w:val="single" w:sz="8" w:space="0" w:color="auto"/>
              <w:right w:val="single" w:sz="8" w:space="0" w:color="auto"/>
            </w:tcBorders>
            <w:vAlign w:val="center"/>
            <w:hideMark/>
          </w:tcPr>
          <w:p w14:paraId="71128489" w14:textId="77777777" w:rsidR="00921202" w:rsidRPr="00921202" w:rsidRDefault="00921202" w:rsidP="00921202">
            <w:r w:rsidRPr="00921202">
              <w:t xml:space="preserve">6         </w:t>
            </w:r>
          </w:p>
        </w:tc>
      </w:tr>
    </w:tbl>
    <w:p w14:paraId="5C965197" w14:textId="77777777" w:rsidR="00921202" w:rsidRPr="00921202" w:rsidRDefault="00921202" w:rsidP="00921202">
      <w:r w:rsidRPr="00921202">
        <w:t xml:space="preserve">&lt;*&gt;среднее число рабочих часов в месяц при 40-часовой рабочей неделе принято из расчета средней величины данного показателя, взятого за календарный год, в котором планируются (начаты) работы по повреждению или уничтожению зеленых насаждений. </w:t>
      </w:r>
    </w:p>
    <w:p w14:paraId="0DC4E5E6" w14:textId="77777777" w:rsidR="00921202" w:rsidRPr="00921202" w:rsidRDefault="00921202" w:rsidP="00921202">
      <w:r w:rsidRPr="00921202">
        <w:t xml:space="preserve">Данные по трудозатратам для всех видов работ приведены в таблице  2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строительства и жилищно-коммунального хозяйства Российской Федерации от 30.01.2014г № 31/пр). </w:t>
      </w:r>
    </w:p>
    <w:p w14:paraId="55B46C70" w14:textId="77777777" w:rsidR="00921202" w:rsidRPr="00921202" w:rsidRDefault="00921202" w:rsidP="00921202">
      <w:r w:rsidRPr="00921202">
        <w:t xml:space="preserve">  </w:t>
      </w:r>
    </w:p>
    <w:p w14:paraId="05B0F442" w14:textId="77777777" w:rsidR="00921202" w:rsidRPr="00921202" w:rsidRDefault="00921202" w:rsidP="00921202">
      <w:r w:rsidRPr="00921202">
        <w:t xml:space="preserve">Трудозатраты на создание зеленых насаждений и уход за ними </w:t>
      </w:r>
    </w:p>
    <w:p w14:paraId="70974D35" w14:textId="77777777" w:rsidR="00921202" w:rsidRPr="00921202" w:rsidRDefault="00921202" w:rsidP="00921202">
      <w:r w:rsidRPr="00921202">
        <w:t xml:space="preserve">Таблица 2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
        <w:gridCol w:w="4987"/>
        <w:gridCol w:w="1521"/>
        <w:gridCol w:w="2297"/>
      </w:tblGrid>
      <w:tr w:rsidR="00921202" w:rsidRPr="00921202" w14:paraId="7E1DDA50" w14:textId="77777777" w:rsidTr="00921202">
        <w:tc>
          <w:tcPr>
            <w:tcW w:w="540" w:type="dxa"/>
            <w:tcBorders>
              <w:top w:val="single" w:sz="8" w:space="0" w:color="auto"/>
              <w:left w:val="single" w:sz="8" w:space="0" w:color="auto"/>
              <w:bottom w:val="single" w:sz="8" w:space="0" w:color="auto"/>
              <w:right w:val="single" w:sz="8" w:space="0" w:color="auto"/>
            </w:tcBorders>
            <w:vAlign w:val="center"/>
            <w:hideMark/>
          </w:tcPr>
          <w:p w14:paraId="7779E429" w14:textId="77777777" w:rsidR="00921202" w:rsidRPr="00921202" w:rsidRDefault="00921202" w:rsidP="00921202">
            <w:r w:rsidRPr="00921202">
              <w:t xml:space="preserve">N  </w:t>
            </w:r>
            <w:r w:rsidRPr="00921202">
              <w:br/>
              <w:t xml:space="preserve">п/п </w:t>
            </w:r>
          </w:p>
        </w:tc>
        <w:tc>
          <w:tcPr>
            <w:tcW w:w="5148" w:type="dxa"/>
            <w:tcBorders>
              <w:top w:val="single" w:sz="8" w:space="0" w:color="auto"/>
              <w:left w:val="outset" w:sz="6" w:space="0" w:color="auto"/>
              <w:bottom w:val="single" w:sz="8" w:space="0" w:color="auto"/>
              <w:right w:val="single" w:sz="8" w:space="0" w:color="auto"/>
            </w:tcBorders>
            <w:vAlign w:val="center"/>
            <w:hideMark/>
          </w:tcPr>
          <w:p w14:paraId="1A32E71E" w14:textId="77777777" w:rsidR="00921202" w:rsidRPr="00921202" w:rsidRDefault="00921202" w:rsidP="00921202">
            <w:r w:rsidRPr="00921202">
              <w:t xml:space="preserve">Виды работ </w:t>
            </w:r>
          </w:p>
        </w:tc>
        <w:tc>
          <w:tcPr>
            <w:tcW w:w="1540" w:type="dxa"/>
            <w:tcBorders>
              <w:top w:val="single" w:sz="8" w:space="0" w:color="auto"/>
              <w:left w:val="outset" w:sz="6" w:space="0" w:color="auto"/>
              <w:bottom w:val="single" w:sz="8" w:space="0" w:color="auto"/>
              <w:right w:val="single" w:sz="8" w:space="0" w:color="auto"/>
            </w:tcBorders>
            <w:vAlign w:val="center"/>
            <w:hideMark/>
          </w:tcPr>
          <w:p w14:paraId="2DD924DE" w14:textId="77777777" w:rsidR="00921202" w:rsidRPr="00921202" w:rsidRDefault="00921202" w:rsidP="00921202">
            <w:r w:rsidRPr="00921202">
              <w:t xml:space="preserve">Единица измерения </w:t>
            </w:r>
          </w:p>
        </w:tc>
        <w:tc>
          <w:tcPr>
            <w:tcW w:w="2343" w:type="dxa"/>
            <w:tcBorders>
              <w:top w:val="single" w:sz="8" w:space="0" w:color="auto"/>
              <w:left w:val="outset" w:sz="6" w:space="0" w:color="auto"/>
              <w:bottom w:val="single" w:sz="8" w:space="0" w:color="auto"/>
              <w:right w:val="single" w:sz="8" w:space="0" w:color="auto"/>
            </w:tcBorders>
            <w:vAlign w:val="center"/>
            <w:hideMark/>
          </w:tcPr>
          <w:p w14:paraId="7E68309C" w14:textId="77777777" w:rsidR="00921202" w:rsidRPr="00921202" w:rsidRDefault="00921202" w:rsidP="00921202">
            <w:r w:rsidRPr="00921202">
              <w:t xml:space="preserve">Трудозатраты, </w:t>
            </w:r>
            <w:r w:rsidRPr="00921202">
              <w:br/>
              <w:t xml:space="preserve">чел/час </w:t>
            </w:r>
          </w:p>
        </w:tc>
      </w:tr>
      <w:tr w:rsidR="00921202" w:rsidRPr="00921202" w14:paraId="69B816BB"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5A4D22D3" w14:textId="77777777" w:rsidR="00921202" w:rsidRPr="00921202" w:rsidRDefault="00921202" w:rsidP="00921202">
            <w:r w:rsidRPr="00921202">
              <w:lastRenderedPageBreak/>
              <w:t xml:space="preserve">1. 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5C3DEAEB" w14:textId="77777777" w:rsidR="00921202" w:rsidRPr="00921202" w:rsidRDefault="00921202" w:rsidP="00921202">
            <w:r w:rsidRPr="00921202">
              <w:t xml:space="preserve">Посадка дерева с комом земли (со средней величиной кома 1,0х1,0х0,6м), включающая: </w:t>
            </w:r>
          </w:p>
          <w:p w14:paraId="4E6A1349" w14:textId="77777777" w:rsidR="00921202" w:rsidRPr="00921202" w:rsidRDefault="00921202" w:rsidP="00921202">
            <w:r w:rsidRPr="00921202">
              <w:t xml:space="preserve">- планировка участка вручную; </w:t>
            </w:r>
          </w:p>
          <w:p w14:paraId="5672B029" w14:textId="77777777" w:rsidR="00921202" w:rsidRPr="00921202" w:rsidRDefault="00921202" w:rsidP="00921202">
            <w:r w:rsidRPr="00921202">
              <w:t xml:space="preserve">- подготовка стандартных посадочных мест для деревьев и кустарников с квадратным комом земли вручную в естественном грунте; </w:t>
            </w:r>
          </w:p>
          <w:p w14:paraId="08DCEA2B" w14:textId="77777777" w:rsidR="00921202" w:rsidRPr="00921202" w:rsidRDefault="00921202" w:rsidP="00921202">
            <w:r w:rsidRPr="00921202">
              <w:t xml:space="preserve">- посадка деревьев и кустарников с комом земли (1,0х1,0х0,6 м)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1E101BDC" w14:textId="77777777" w:rsidR="00921202" w:rsidRPr="00921202" w:rsidRDefault="00921202" w:rsidP="00921202">
            <w:r w:rsidRPr="00921202">
              <w:t>10 м</w:t>
            </w:r>
            <w:r w:rsidRPr="00921202">
              <w:rPr>
                <w:vertAlign w:val="superscript"/>
              </w:rPr>
              <w:t>2</w:t>
            </w:r>
            <w:r w:rsidRPr="00921202">
              <w:t xml:space="preserve"> </w:t>
            </w:r>
          </w:p>
          <w:p w14:paraId="6B098F27" w14:textId="77777777" w:rsidR="00921202" w:rsidRPr="00921202" w:rsidRDefault="00921202" w:rsidP="00921202">
            <w:r w:rsidRPr="00921202">
              <w:t xml:space="preserve">1 яма </w:t>
            </w:r>
          </w:p>
          <w:p w14:paraId="68C5A8E7" w14:textId="77777777" w:rsidR="00921202" w:rsidRPr="00921202" w:rsidRDefault="00921202" w:rsidP="00921202">
            <w:r w:rsidRPr="00921202">
              <w:t xml:space="preserve">1 дерево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01ED88C1" w14:textId="77777777" w:rsidR="00921202" w:rsidRPr="00921202" w:rsidRDefault="00921202" w:rsidP="00921202">
            <w:r w:rsidRPr="00921202">
              <w:t xml:space="preserve">9,646 </w:t>
            </w:r>
          </w:p>
          <w:p w14:paraId="10A3F7A2" w14:textId="77777777" w:rsidR="00921202" w:rsidRPr="00921202" w:rsidRDefault="00921202" w:rsidP="00921202">
            <w:r w:rsidRPr="00921202">
              <w:t xml:space="preserve">1,02 </w:t>
            </w:r>
          </w:p>
          <w:p w14:paraId="7D5FB913" w14:textId="77777777" w:rsidR="00921202" w:rsidRPr="00921202" w:rsidRDefault="00921202" w:rsidP="00921202">
            <w:r w:rsidRPr="00921202">
              <w:t xml:space="preserve">4,321 </w:t>
            </w:r>
          </w:p>
          <w:p w14:paraId="5C4BF9B9" w14:textId="77777777" w:rsidR="00921202" w:rsidRPr="00921202" w:rsidRDefault="00921202" w:rsidP="00921202">
            <w:r w:rsidRPr="00921202">
              <w:t xml:space="preserve">4,305 </w:t>
            </w:r>
          </w:p>
        </w:tc>
      </w:tr>
      <w:tr w:rsidR="00921202" w:rsidRPr="00921202" w14:paraId="2718291B"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564CECAF" w14:textId="77777777" w:rsidR="00921202" w:rsidRPr="00921202" w:rsidRDefault="00921202" w:rsidP="00921202">
            <w:r w:rsidRPr="00921202">
              <w:t xml:space="preserve">2. 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6020CCDD" w14:textId="77777777" w:rsidR="00921202" w:rsidRPr="00921202" w:rsidRDefault="00921202" w:rsidP="00921202">
            <w:r w:rsidRPr="00921202">
              <w:t xml:space="preserve">Посадка кустарников-саженцев в группы </w:t>
            </w:r>
            <w:r w:rsidRPr="00921202">
              <w:br/>
              <w:t xml:space="preserve">(в т.ч. вертикальное озеленение), включающая: </w:t>
            </w:r>
          </w:p>
          <w:tbl>
            <w:tblPr>
              <w:tblW w:w="0" w:type="auto"/>
              <w:tblCellMar>
                <w:left w:w="0" w:type="dxa"/>
                <w:right w:w="0" w:type="dxa"/>
              </w:tblCellMar>
              <w:tblLook w:val="04A0" w:firstRow="1" w:lastRow="0" w:firstColumn="1" w:lastColumn="0" w:noHBand="0" w:noVBand="1"/>
            </w:tblPr>
            <w:tblGrid>
              <w:gridCol w:w="4508"/>
            </w:tblGrid>
            <w:tr w:rsidR="00921202" w:rsidRPr="00921202" w14:paraId="551771C7" w14:textId="77777777">
              <w:tc>
                <w:tcPr>
                  <w:tcW w:w="4508" w:type="dxa"/>
                  <w:vAlign w:val="center"/>
                  <w:hideMark/>
                </w:tcPr>
                <w:p w14:paraId="65602B93" w14:textId="77777777" w:rsidR="00921202" w:rsidRPr="00921202" w:rsidRDefault="00921202" w:rsidP="00921202">
                  <w:r w:rsidRPr="00921202">
                    <w:t xml:space="preserve">- подготовка стандартных посадочных мест для кустарников-саженцев в групп вручную в естественном грунте; </w:t>
                  </w:r>
                </w:p>
                <w:p w14:paraId="357498D2" w14:textId="77777777" w:rsidR="00921202" w:rsidRPr="00921202" w:rsidRDefault="00921202" w:rsidP="00921202">
                  <w:r w:rsidRPr="00921202">
                    <w:t xml:space="preserve">- посадка кустарников-саженцев в группы  размер ямы 0,7х0,5 м </w:t>
                  </w:r>
                </w:p>
              </w:tc>
            </w:tr>
          </w:tbl>
          <w:p w14:paraId="7F74AFB0" w14:textId="77777777" w:rsidR="00921202" w:rsidRPr="00921202" w:rsidRDefault="00921202" w:rsidP="00921202">
            <w:r w:rsidRPr="00921202">
              <w:t xml:space="preserve">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3A84EF52" w14:textId="77777777" w:rsidR="00921202" w:rsidRPr="00921202" w:rsidRDefault="00921202" w:rsidP="00921202">
            <w:r w:rsidRPr="00921202">
              <w:t xml:space="preserve">1 яма </w:t>
            </w:r>
          </w:p>
          <w:p w14:paraId="18DDE459" w14:textId="77777777" w:rsidR="00921202" w:rsidRPr="00921202" w:rsidRDefault="00921202" w:rsidP="00921202">
            <w:r w:rsidRPr="00921202">
              <w:t xml:space="preserve">1 кустарник-саженец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138DEFB8" w14:textId="77777777" w:rsidR="00921202" w:rsidRPr="00921202" w:rsidRDefault="00921202" w:rsidP="00921202">
            <w:r w:rsidRPr="00921202">
              <w:t xml:space="preserve">0,498 </w:t>
            </w:r>
          </w:p>
          <w:p w14:paraId="473220F6" w14:textId="77777777" w:rsidR="00921202" w:rsidRPr="00921202" w:rsidRDefault="00921202" w:rsidP="00921202">
            <w:r w:rsidRPr="00921202">
              <w:t xml:space="preserve">0,257 </w:t>
            </w:r>
          </w:p>
          <w:p w14:paraId="69276344" w14:textId="77777777" w:rsidR="00921202" w:rsidRPr="00921202" w:rsidRDefault="00921202" w:rsidP="00921202">
            <w:r w:rsidRPr="00921202">
              <w:t xml:space="preserve">0,241 </w:t>
            </w:r>
          </w:p>
        </w:tc>
      </w:tr>
      <w:tr w:rsidR="00921202" w:rsidRPr="00921202" w14:paraId="5A1B755D"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64EDBEE2" w14:textId="77777777" w:rsidR="00921202" w:rsidRPr="00921202" w:rsidRDefault="00921202" w:rsidP="00921202">
            <w:r w:rsidRPr="00921202">
              <w:t xml:space="preserve">3. 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0FC0C849" w14:textId="77777777" w:rsidR="00921202" w:rsidRPr="00921202" w:rsidRDefault="00921202" w:rsidP="00921202">
            <w:r w:rsidRPr="00921202">
              <w:t xml:space="preserve">Посадка кустарников-саженцев в живую изгородь двухрядную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71D0465F" w14:textId="77777777" w:rsidR="00921202" w:rsidRPr="00921202" w:rsidRDefault="00921202" w:rsidP="00921202">
            <w:r w:rsidRPr="00921202">
              <w:t xml:space="preserve">1 м изгороди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5E28B102" w14:textId="77777777" w:rsidR="00921202" w:rsidRPr="00921202" w:rsidRDefault="00921202" w:rsidP="00921202">
            <w:r w:rsidRPr="00921202">
              <w:t xml:space="preserve">1,313 </w:t>
            </w:r>
          </w:p>
        </w:tc>
      </w:tr>
      <w:tr w:rsidR="00921202" w:rsidRPr="00921202" w14:paraId="5280AC75"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6A72503E" w14:textId="77777777" w:rsidR="00921202" w:rsidRPr="00921202" w:rsidRDefault="00921202" w:rsidP="00921202">
            <w:r w:rsidRPr="00921202">
              <w:t xml:space="preserve">4. 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3E7D4419" w14:textId="77777777" w:rsidR="00921202" w:rsidRPr="00921202" w:rsidRDefault="00921202" w:rsidP="00921202">
            <w:r w:rsidRPr="00921202">
              <w:t xml:space="preserve">Устройство газона: </w:t>
            </w:r>
          </w:p>
          <w:p w14:paraId="66AA4A4C" w14:textId="77777777" w:rsidR="00921202" w:rsidRPr="00921202" w:rsidRDefault="00921202" w:rsidP="00921202">
            <w:r w:rsidRPr="00921202">
              <w:t xml:space="preserve">- подготовка почвы для устройства партерного и обыкновенного газона без внесения растительной земли вручную; </w:t>
            </w:r>
          </w:p>
          <w:p w14:paraId="2DF12FEF" w14:textId="77777777" w:rsidR="00921202" w:rsidRPr="00921202" w:rsidRDefault="00921202" w:rsidP="00921202">
            <w:r w:rsidRPr="00921202">
              <w:t xml:space="preserve">- посев луговых газонов тракторной сеялкой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18C8B400" w14:textId="77777777" w:rsidR="00921202" w:rsidRPr="00921202" w:rsidRDefault="00921202" w:rsidP="00921202">
            <w:r w:rsidRPr="00921202">
              <w:t>1 м</w:t>
            </w:r>
            <w:r w:rsidRPr="00921202">
              <w:rPr>
                <w:vertAlign w:val="superscript"/>
              </w:rPr>
              <w:t>2</w:t>
            </w:r>
            <w:r w:rsidRPr="00921202">
              <w:t xml:space="preserve"> </w:t>
            </w:r>
          </w:p>
          <w:p w14:paraId="66AE251C" w14:textId="77777777" w:rsidR="00921202" w:rsidRPr="00921202" w:rsidRDefault="00921202" w:rsidP="00921202">
            <w:r w:rsidRPr="00921202">
              <w:t>1 м</w:t>
            </w:r>
            <w:r w:rsidRPr="00921202">
              <w:rPr>
                <w:vertAlign w:val="superscript"/>
              </w:rPr>
              <w:t>2</w:t>
            </w:r>
            <w:r w:rsidRPr="00921202">
              <w:t xml:space="preserve">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41D29D74" w14:textId="77777777" w:rsidR="00921202" w:rsidRPr="00921202" w:rsidRDefault="00921202" w:rsidP="00921202">
            <w:r w:rsidRPr="00921202">
              <w:t xml:space="preserve">0,1792 </w:t>
            </w:r>
          </w:p>
          <w:p w14:paraId="47EF55C3" w14:textId="77777777" w:rsidR="00921202" w:rsidRPr="00921202" w:rsidRDefault="00921202" w:rsidP="00921202">
            <w:r w:rsidRPr="00921202">
              <w:t xml:space="preserve">0,1727 </w:t>
            </w:r>
          </w:p>
          <w:p w14:paraId="43BA05E3" w14:textId="77777777" w:rsidR="00921202" w:rsidRPr="00921202" w:rsidRDefault="00921202" w:rsidP="00921202">
            <w:r w:rsidRPr="00921202">
              <w:t xml:space="preserve">0,0065 </w:t>
            </w:r>
          </w:p>
        </w:tc>
      </w:tr>
      <w:tr w:rsidR="00921202" w:rsidRPr="00921202" w14:paraId="6B628D2C"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2D64D9EC" w14:textId="77777777" w:rsidR="00921202" w:rsidRPr="00921202" w:rsidRDefault="00921202" w:rsidP="00921202">
            <w:r w:rsidRPr="00921202">
              <w:t xml:space="preserve">5. 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11090F46" w14:textId="77777777" w:rsidR="00921202" w:rsidRPr="00921202" w:rsidRDefault="00921202" w:rsidP="00921202">
            <w:r w:rsidRPr="00921202">
              <w:t xml:space="preserve">Устройство цветника: </w:t>
            </w:r>
          </w:p>
          <w:p w14:paraId="239BB06C" w14:textId="77777777" w:rsidR="00921202" w:rsidRPr="00921202" w:rsidRDefault="00921202" w:rsidP="00921202">
            <w:r w:rsidRPr="00921202">
              <w:t xml:space="preserve">- устройство корыта под цветники глубиной  40 см вручную; </w:t>
            </w:r>
          </w:p>
          <w:p w14:paraId="26CBD75C" w14:textId="77777777" w:rsidR="00921202" w:rsidRPr="00921202" w:rsidRDefault="00921202" w:rsidP="00921202">
            <w:r w:rsidRPr="00921202">
              <w:t xml:space="preserve">-   подготовка почвы под цветники толщиной слоя насыпки 20 см; </w:t>
            </w:r>
          </w:p>
          <w:p w14:paraId="751199C5" w14:textId="77777777" w:rsidR="00921202" w:rsidRPr="00921202" w:rsidRDefault="00921202" w:rsidP="00921202">
            <w:r w:rsidRPr="00921202">
              <w:t xml:space="preserve">- посадка многолетних цветников при густоте посадки 16 шт. цветов;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3F4500FE" w14:textId="77777777" w:rsidR="00921202" w:rsidRPr="00921202" w:rsidRDefault="00921202" w:rsidP="00921202">
            <w:r w:rsidRPr="00921202">
              <w:t>1 м</w:t>
            </w:r>
            <w:r w:rsidRPr="00921202">
              <w:rPr>
                <w:vertAlign w:val="superscript"/>
              </w:rPr>
              <w:t>2</w:t>
            </w:r>
            <w:r w:rsidRPr="00921202">
              <w:t xml:space="preserve"> </w:t>
            </w:r>
          </w:p>
          <w:p w14:paraId="5543F5CD" w14:textId="77777777" w:rsidR="00921202" w:rsidRPr="00921202" w:rsidRDefault="00921202" w:rsidP="00921202">
            <w:r w:rsidRPr="00921202">
              <w:t>1 м</w:t>
            </w:r>
            <w:r w:rsidRPr="00921202">
              <w:rPr>
                <w:vertAlign w:val="superscript"/>
              </w:rPr>
              <w:t>2</w:t>
            </w:r>
            <w:r w:rsidRPr="00921202">
              <w:t xml:space="preserve"> </w:t>
            </w:r>
          </w:p>
          <w:p w14:paraId="2B399809" w14:textId="77777777" w:rsidR="00921202" w:rsidRPr="00921202" w:rsidRDefault="00921202" w:rsidP="00921202">
            <w:r w:rsidRPr="00921202">
              <w:t>1 м</w:t>
            </w:r>
            <w:r w:rsidRPr="00921202">
              <w:rPr>
                <w:vertAlign w:val="superscript"/>
              </w:rPr>
              <w:t>2</w:t>
            </w:r>
            <w:r w:rsidRPr="00921202">
              <w:t xml:space="preserve">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5B8A4D96" w14:textId="77777777" w:rsidR="00921202" w:rsidRPr="00921202" w:rsidRDefault="00921202" w:rsidP="00921202">
            <w:r w:rsidRPr="00921202">
              <w:t xml:space="preserve">2,7534 </w:t>
            </w:r>
          </w:p>
          <w:p w14:paraId="63CF55CC" w14:textId="77777777" w:rsidR="00921202" w:rsidRPr="00921202" w:rsidRDefault="00921202" w:rsidP="00921202">
            <w:r w:rsidRPr="00921202">
              <w:t xml:space="preserve">0,7473 </w:t>
            </w:r>
          </w:p>
          <w:p w14:paraId="241B58F0" w14:textId="77777777" w:rsidR="00921202" w:rsidRPr="00921202" w:rsidRDefault="00921202" w:rsidP="00921202">
            <w:r w:rsidRPr="00921202">
              <w:t xml:space="preserve">0,467 </w:t>
            </w:r>
          </w:p>
          <w:p w14:paraId="482FC342" w14:textId="77777777" w:rsidR="00921202" w:rsidRPr="00921202" w:rsidRDefault="00921202" w:rsidP="00921202">
            <w:r w:rsidRPr="00921202">
              <w:t xml:space="preserve">1,5391 </w:t>
            </w:r>
          </w:p>
        </w:tc>
      </w:tr>
      <w:tr w:rsidR="00921202" w:rsidRPr="00921202" w14:paraId="0B388E0A"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3ECEB4CA" w14:textId="77777777" w:rsidR="00921202" w:rsidRPr="00921202" w:rsidRDefault="00921202" w:rsidP="00921202">
            <w:r w:rsidRPr="00921202">
              <w:t xml:space="preserve">6. 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1AFA8120" w14:textId="77777777" w:rsidR="00921202" w:rsidRPr="00921202" w:rsidRDefault="00921202" w:rsidP="00921202">
            <w:r w:rsidRPr="00921202">
              <w:t xml:space="preserve">Уход за деревьями или кустарниками с комом земли 1,0х1,0х0,6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17387701" w14:textId="77777777" w:rsidR="00921202" w:rsidRPr="00921202" w:rsidRDefault="00921202" w:rsidP="00921202">
            <w:r w:rsidRPr="00921202">
              <w:t xml:space="preserve">1 дерево или 1 кустарник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6C3A14B0" w14:textId="77777777" w:rsidR="00921202" w:rsidRPr="00921202" w:rsidRDefault="00921202" w:rsidP="00921202">
            <w:r w:rsidRPr="00921202">
              <w:t xml:space="preserve">4,424 </w:t>
            </w:r>
          </w:p>
        </w:tc>
      </w:tr>
      <w:tr w:rsidR="00921202" w:rsidRPr="00921202" w14:paraId="6B82E232"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13ADD0E7" w14:textId="77777777" w:rsidR="00921202" w:rsidRPr="00921202" w:rsidRDefault="00921202" w:rsidP="00921202">
            <w:r w:rsidRPr="00921202">
              <w:t xml:space="preserve">7. 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0E33FB66" w14:textId="77777777" w:rsidR="00921202" w:rsidRPr="00921202" w:rsidRDefault="00921202" w:rsidP="00921202">
            <w:r w:rsidRPr="00921202">
              <w:t xml:space="preserve">Уход за саженцами кустарников с оголенной корневой системой в живой изгороди двухрядной: </w:t>
            </w:r>
          </w:p>
          <w:p w14:paraId="7B40247C" w14:textId="77777777" w:rsidR="00921202" w:rsidRPr="00921202" w:rsidRDefault="00921202" w:rsidP="00921202">
            <w:r w:rsidRPr="00921202">
              <w:t xml:space="preserve">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66C49E3C" w14:textId="77777777" w:rsidR="00921202" w:rsidRPr="00921202" w:rsidRDefault="00921202" w:rsidP="00921202">
            <w:r w:rsidRPr="00921202">
              <w:t xml:space="preserve">1 м живой изгороди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1FF740EF" w14:textId="77777777" w:rsidR="00921202" w:rsidRPr="00921202" w:rsidRDefault="00921202" w:rsidP="00921202">
            <w:r w:rsidRPr="00921202">
              <w:t xml:space="preserve">0,629 </w:t>
            </w:r>
          </w:p>
        </w:tc>
      </w:tr>
      <w:tr w:rsidR="00921202" w:rsidRPr="00921202" w14:paraId="4198D42A"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172C7C0C" w14:textId="77777777" w:rsidR="00921202" w:rsidRPr="00921202" w:rsidRDefault="00921202" w:rsidP="00921202">
            <w:r w:rsidRPr="00921202">
              <w:t xml:space="preserve">8. 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209F90C8" w14:textId="77777777" w:rsidR="00921202" w:rsidRPr="00921202" w:rsidRDefault="00921202" w:rsidP="00921202">
            <w:r w:rsidRPr="00921202">
              <w:t xml:space="preserve">Уход за газоном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248219E1" w14:textId="77777777" w:rsidR="00921202" w:rsidRPr="00921202" w:rsidRDefault="00921202" w:rsidP="00921202">
            <w:r w:rsidRPr="00921202">
              <w:t xml:space="preserve">1 кв. м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2E27A2AF" w14:textId="77777777" w:rsidR="00921202" w:rsidRPr="00921202" w:rsidRDefault="00921202" w:rsidP="00921202">
            <w:r w:rsidRPr="00921202">
              <w:t xml:space="preserve">0,3862 </w:t>
            </w:r>
          </w:p>
        </w:tc>
      </w:tr>
      <w:tr w:rsidR="00921202" w:rsidRPr="00921202" w14:paraId="5FB784AA" w14:textId="77777777" w:rsidTr="00921202">
        <w:tc>
          <w:tcPr>
            <w:tcW w:w="540" w:type="dxa"/>
            <w:tcBorders>
              <w:top w:val="outset" w:sz="6" w:space="0" w:color="auto"/>
              <w:left w:val="single" w:sz="8" w:space="0" w:color="auto"/>
              <w:bottom w:val="single" w:sz="8" w:space="0" w:color="auto"/>
              <w:right w:val="single" w:sz="8" w:space="0" w:color="auto"/>
            </w:tcBorders>
            <w:vAlign w:val="center"/>
            <w:hideMark/>
          </w:tcPr>
          <w:p w14:paraId="1F1018C4" w14:textId="77777777" w:rsidR="00921202" w:rsidRPr="00921202" w:rsidRDefault="00921202" w:rsidP="00921202">
            <w:r w:rsidRPr="00921202">
              <w:t xml:space="preserve">9.  </w:t>
            </w:r>
          </w:p>
        </w:tc>
        <w:tc>
          <w:tcPr>
            <w:tcW w:w="5148" w:type="dxa"/>
            <w:tcBorders>
              <w:top w:val="outset" w:sz="6" w:space="0" w:color="auto"/>
              <w:left w:val="outset" w:sz="6" w:space="0" w:color="auto"/>
              <w:bottom w:val="single" w:sz="8" w:space="0" w:color="auto"/>
              <w:right w:val="single" w:sz="8" w:space="0" w:color="auto"/>
            </w:tcBorders>
            <w:vAlign w:val="center"/>
            <w:hideMark/>
          </w:tcPr>
          <w:p w14:paraId="4792D1F2" w14:textId="77777777" w:rsidR="00921202" w:rsidRPr="00921202" w:rsidRDefault="00921202" w:rsidP="00921202">
            <w:r w:rsidRPr="00921202">
              <w:t xml:space="preserve">Уход за цветником из многолетников           </w:t>
            </w:r>
          </w:p>
        </w:tc>
        <w:tc>
          <w:tcPr>
            <w:tcW w:w="1540" w:type="dxa"/>
            <w:tcBorders>
              <w:top w:val="outset" w:sz="6" w:space="0" w:color="auto"/>
              <w:left w:val="outset" w:sz="6" w:space="0" w:color="auto"/>
              <w:bottom w:val="single" w:sz="8" w:space="0" w:color="auto"/>
              <w:right w:val="single" w:sz="8" w:space="0" w:color="auto"/>
            </w:tcBorders>
            <w:vAlign w:val="center"/>
            <w:hideMark/>
          </w:tcPr>
          <w:p w14:paraId="668D1A56" w14:textId="77777777" w:rsidR="00921202" w:rsidRPr="00921202" w:rsidRDefault="00921202" w:rsidP="00921202">
            <w:r w:rsidRPr="00921202">
              <w:t xml:space="preserve">1 кв. м </w:t>
            </w:r>
          </w:p>
        </w:tc>
        <w:tc>
          <w:tcPr>
            <w:tcW w:w="2343" w:type="dxa"/>
            <w:tcBorders>
              <w:top w:val="outset" w:sz="6" w:space="0" w:color="auto"/>
              <w:left w:val="outset" w:sz="6" w:space="0" w:color="auto"/>
              <w:bottom w:val="single" w:sz="8" w:space="0" w:color="auto"/>
              <w:right w:val="single" w:sz="8" w:space="0" w:color="auto"/>
            </w:tcBorders>
            <w:vAlign w:val="center"/>
            <w:hideMark/>
          </w:tcPr>
          <w:p w14:paraId="4E3844E3" w14:textId="77777777" w:rsidR="00921202" w:rsidRPr="00921202" w:rsidRDefault="00921202" w:rsidP="00921202">
            <w:r w:rsidRPr="00921202">
              <w:t xml:space="preserve">0,9066 </w:t>
            </w:r>
          </w:p>
        </w:tc>
      </w:tr>
    </w:tbl>
    <w:p w14:paraId="1E69638C" w14:textId="77777777" w:rsidR="00921202" w:rsidRPr="00921202" w:rsidRDefault="00921202" w:rsidP="00921202">
      <w:r w:rsidRPr="00921202">
        <w:lastRenderedPageBreak/>
        <w:t xml:space="preserve">  </w:t>
      </w:r>
    </w:p>
    <w:p w14:paraId="4C1CBA04" w14:textId="77777777" w:rsidR="00921202" w:rsidRPr="00921202" w:rsidRDefault="00921202" w:rsidP="00921202">
      <w:r w:rsidRPr="00921202">
        <w:rPr>
          <w:b/>
          <w:bCs/>
        </w:rPr>
        <w:t>3. Расчет компенсационной стоимости</w:t>
      </w:r>
      <w:r w:rsidRPr="00921202">
        <w:t xml:space="preserve"> </w:t>
      </w:r>
    </w:p>
    <w:p w14:paraId="05190239" w14:textId="77777777" w:rsidR="00921202" w:rsidRPr="00921202" w:rsidRDefault="00921202" w:rsidP="00921202">
      <w:r w:rsidRPr="00921202">
        <w:t xml:space="preserve">  </w:t>
      </w:r>
    </w:p>
    <w:p w14:paraId="2B770539" w14:textId="77777777" w:rsidR="00921202" w:rsidRPr="00921202" w:rsidRDefault="00921202" w:rsidP="00921202">
      <w:r w:rsidRPr="00921202">
        <w:t xml:space="preserve">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 </w:t>
      </w:r>
    </w:p>
    <w:p w14:paraId="10101E3F" w14:textId="77777777" w:rsidR="00921202" w:rsidRPr="00921202" w:rsidRDefault="00921202" w:rsidP="00921202">
      <w:r w:rsidRPr="00921202">
        <w:t xml:space="preserve">3.2. Компенсационная стоимость рассчитывается по формуле: </w:t>
      </w:r>
    </w:p>
    <w:p w14:paraId="556515C0" w14:textId="77777777" w:rsidR="00921202" w:rsidRPr="00921202" w:rsidRDefault="00921202" w:rsidP="00921202">
      <w:r w:rsidRPr="00921202">
        <w:t xml:space="preserve">  </w:t>
      </w:r>
    </w:p>
    <w:p w14:paraId="22004FCD" w14:textId="77777777" w:rsidR="00921202" w:rsidRPr="00921202" w:rsidRDefault="00921202" w:rsidP="00921202">
      <w:r w:rsidRPr="00921202">
        <w:t>    С</w:t>
      </w:r>
      <w:r w:rsidRPr="00921202">
        <w:rPr>
          <w:vertAlign w:val="subscript"/>
        </w:rPr>
        <w:t>к</w:t>
      </w:r>
      <w:r w:rsidRPr="00921202">
        <w:t>  = С</w:t>
      </w:r>
      <w:r w:rsidRPr="00921202">
        <w:rPr>
          <w:vertAlign w:val="subscript"/>
        </w:rPr>
        <w:t>в</w:t>
      </w:r>
      <w:r w:rsidRPr="00921202">
        <w:t>  x К</w:t>
      </w:r>
      <w:r w:rsidRPr="00921202">
        <w:rPr>
          <w:vertAlign w:val="subscript"/>
        </w:rPr>
        <w:t>з</w:t>
      </w:r>
      <w:r w:rsidRPr="00921202">
        <w:t>  x К</w:t>
      </w:r>
      <w:r w:rsidRPr="00921202">
        <w:rPr>
          <w:vertAlign w:val="subscript"/>
        </w:rPr>
        <w:t>с</w:t>
      </w:r>
      <w:r w:rsidRPr="00921202">
        <w:t xml:space="preserve"> x К</w:t>
      </w:r>
      <w:r w:rsidRPr="00921202">
        <w:rPr>
          <w:vertAlign w:val="subscript"/>
        </w:rPr>
        <w:t>в</w:t>
      </w:r>
      <w:r w:rsidRPr="00921202">
        <w:t xml:space="preserve"> , </w:t>
      </w:r>
    </w:p>
    <w:p w14:paraId="01023847" w14:textId="77777777" w:rsidR="00921202" w:rsidRPr="00921202" w:rsidRDefault="00921202" w:rsidP="00921202">
      <w:r w:rsidRPr="00921202">
        <w:t xml:space="preserve">     </w:t>
      </w:r>
    </w:p>
    <w:p w14:paraId="4D35B63D" w14:textId="77777777" w:rsidR="00921202" w:rsidRPr="00921202" w:rsidRDefault="00921202" w:rsidP="00921202">
      <w:r w:rsidRPr="00921202">
        <w:t xml:space="preserve">    где: </w:t>
      </w:r>
    </w:p>
    <w:p w14:paraId="209D0FB7" w14:textId="77777777" w:rsidR="00921202" w:rsidRPr="00921202" w:rsidRDefault="00921202" w:rsidP="00921202">
      <w:r w:rsidRPr="00921202">
        <w:t>    С</w:t>
      </w:r>
      <w:r w:rsidRPr="00921202">
        <w:rPr>
          <w:vertAlign w:val="subscript"/>
        </w:rPr>
        <w:t>к</w:t>
      </w:r>
      <w:r w:rsidRPr="00921202">
        <w:t xml:space="preserve">  - компенсационная стоимость насаждений; </w:t>
      </w:r>
    </w:p>
    <w:p w14:paraId="44709E58" w14:textId="77777777" w:rsidR="00921202" w:rsidRPr="00921202" w:rsidRDefault="00921202" w:rsidP="00921202">
      <w:r w:rsidRPr="00921202">
        <w:t>    К</w:t>
      </w:r>
      <w:r w:rsidRPr="00921202">
        <w:rPr>
          <w:vertAlign w:val="subscript"/>
        </w:rPr>
        <w:t>з</w:t>
      </w:r>
      <w:r w:rsidRPr="00921202">
        <w:t xml:space="preserve">  - коэффициент, отражающий социально-экологическую значимость зеленых насаждений; </w:t>
      </w:r>
    </w:p>
    <w:p w14:paraId="2F777F05" w14:textId="77777777" w:rsidR="00921202" w:rsidRPr="00921202" w:rsidRDefault="00921202" w:rsidP="00921202">
      <w:r w:rsidRPr="00921202">
        <w:t>    К</w:t>
      </w:r>
      <w:r w:rsidRPr="00921202">
        <w:rPr>
          <w:vertAlign w:val="subscript"/>
        </w:rPr>
        <w:t>с</w:t>
      </w:r>
      <w:r w:rsidRPr="00921202">
        <w:t xml:space="preserve">  - коэффициент, отражающий качественное состояние зеленых насаждений; </w:t>
      </w:r>
    </w:p>
    <w:p w14:paraId="1650AF9F" w14:textId="77777777" w:rsidR="00921202" w:rsidRPr="00921202" w:rsidRDefault="00921202" w:rsidP="00921202">
      <w:r w:rsidRPr="00921202">
        <w:t>    К</w:t>
      </w:r>
      <w:r w:rsidRPr="00921202">
        <w:rPr>
          <w:vertAlign w:val="subscript"/>
        </w:rPr>
        <w:t>в</w:t>
      </w:r>
      <w:r w:rsidRPr="00921202">
        <w:t xml:space="preserve"> – коэффициент поправки на водоохранную функцию зеленых насаждений. </w:t>
      </w:r>
    </w:p>
    <w:p w14:paraId="306E2135" w14:textId="77777777" w:rsidR="00921202" w:rsidRPr="00921202" w:rsidRDefault="00921202" w:rsidP="00921202">
      <w:r w:rsidRPr="00921202">
        <w:t>         При расчете С</w:t>
      </w:r>
      <w:r w:rsidRPr="00921202">
        <w:rPr>
          <w:vertAlign w:val="subscript"/>
        </w:rPr>
        <w:t>к</w:t>
      </w:r>
      <w:r w:rsidRPr="00921202">
        <w:t xml:space="preserve">  для  газонов и цветников полученный результат умножается на площадь объектов. </w:t>
      </w:r>
    </w:p>
    <w:p w14:paraId="0BFCBBCF" w14:textId="77777777" w:rsidR="00921202" w:rsidRPr="00921202" w:rsidRDefault="00921202" w:rsidP="00921202">
      <w:r w:rsidRPr="00921202">
        <w:t>    3.3. Используются следующие показатели К</w:t>
      </w:r>
      <w:r w:rsidRPr="00921202">
        <w:rPr>
          <w:vertAlign w:val="subscript"/>
        </w:rPr>
        <w:t>з</w:t>
      </w:r>
      <w:r w:rsidRPr="00921202">
        <w:t xml:space="preserve"> : </w:t>
      </w:r>
    </w:p>
    <w:p w14:paraId="79BDA799" w14:textId="77777777" w:rsidR="00921202" w:rsidRPr="00921202" w:rsidRDefault="00921202" w:rsidP="00921202">
      <w:r w:rsidRPr="00921202">
        <w:t xml:space="preserve">¾   для зеленых  насаждений  на  территориях  ограниченного пользования и специального назначения - 1,5; </w:t>
      </w:r>
    </w:p>
    <w:p w14:paraId="7BD389A5" w14:textId="77777777" w:rsidR="00921202" w:rsidRPr="00921202" w:rsidRDefault="00921202" w:rsidP="00921202">
      <w:r w:rsidRPr="00921202">
        <w:t xml:space="preserve">¾   для зеленых насаждений на территориях общего пользования - 2; </w:t>
      </w:r>
    </w:p>
    <w:p w14:paraId="7D5482E3" w14:textId="77777777" w:rsidR="00921202" w:rsidRPr="00921202" w:rsidRDefault="00921202" w:rsidP="00921202">
      <w:r w:rsidRPr="00921202">
        <w:t xml:space="preserve">¾   для уникальных насаждений и насаждений на особо охраняемых  природных территориях - 3. </w:t>
      </w:r>
    </w:p>
    <w:p w14:paraId="2E2E39B9" w14:textId="77777777" w:rsidR="00921202" w:rsidRPr="00921202" w:rsidRDefault="00921202" w:rsidP="00921202">
      <w:r w:rsidRPr="00921202">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(К</w:t>
      </w:r>
      <w:r w:rsidRPr="00921202">
        <w:rPr>
          <w:vertAlign w:val="subscript"/>
        </w:rPr>
        <w:t>з</w:t>
      </w:r>
      <w:r w:rsidRPr="00921202">
        <w:t xml:space="preserve">). </w:t>
      </w:r>
    </w:p>
    <w:p w14:paraId="3E694067" w14:textId="77777777" w:rsidR="00921202" w:rsidRPr="00921202" w:rsidRDefault="00921202" w:rsidP="00921202">
      <w:r w:rsidRPr="00921202">
        <w:t>       3.4. Используются следующие показатели К</w:t>
      </w:r>
      <w:r w:rsidRPr="00921202">
        <w:rPr>
          <w:vertAlign w:val="subscript"/>
        </w:rPr>
        <w:t>с</w:t>
      </w:r>
      <w:r w:rsidRPr="00921202">
        <w:t xml:space="preserve">:                                 </w:t>
      </w:r>
    </w:p>
    <w:p w14:paraId="66D89338" w14:textId="77777777" w:rsidR="00921202" w:rsidRPr="00921202" w:rsidRDefault="00921202" w:rsidP="00921202">
      <w:r w:rsidRPr="00921202">
        <w:t xml:space="preserve">Таблица 3 </w:t>
      </w:r>
    </w:p>
    <w:tbl>
      <w:tblPr>
        <w:tblW w:w="0" w:type="auto"/>
        <w:tblCellMar>
          <w:left w:w="0" w:type="dxa"/>
          <w:right w:w="0" w:type="dxa"/>
        </w:tblCellMar>
        <w:tblLook w:val="04A0" w:firstRow="1" w:lastRow="0" w:firstColumn="1" w:lastColumn="0" w:noHBand="0" w:noVBand="1"/>
      </w:tblPr>
      <w:tblGrid>
        <w:gridCol w:w="1884"/>
        <w:gridCol w:w="3641"/>
        <w:gridCol w:w="1750"/>
        <w:gridCol w:w="2060"/>
      </w:tblGrid>
      <w:tr w:rsidR="00921202" w:rsidRPr="00921202" w14:paraId="429F219C" w14:textId="77777777" w:rsidTr="00921202">
        <w:trPr>
          <w:trHeight w:val="600"/>
        </w:trPr>
        <w:tc>
          <w:tcPr>
            <w:tcW w:w="1890" w:type="dxa"/>
            <w:tcBorders>
              <w:top w:val="single" w:sz="8" w:space="0" w:color="auto"/>
              <w:left w:val="single" w:sz="8" w:space="0" w:color="auto"/>
              <w:bottom w:val="single" w:sz="8" w:space="0" w:color="auto"/>
            </w:tcBorders>
            <w:vAlign w:val="center"/>
            <w:hideMark/>
          </w:tcPr>
          <w:p w14:paraId="1D94C973" w14:textId="77777777" w:rsidR="00921202" w:rsidRPr="00921202" w:rsidRDefault="00921202" w:rsidP="00921202">
            <w:r w:rsidRPr="00921202">
              <w:t xml:space="preserve">Значение     </w:t>
            </w:r>
            <w:r w:rsidRPr="00921202">
              <w:br/>
              <w:t xml:space="preserve">коэффициента </w:t>
            </w:r>
          </w:p>
        </w:tc>
        <w:tc>
          <w:tcPr>
            <w:tcW w:w="3645" w:type="dxa"/>
            <w:tcBorders>
              <w:top w:val="single" w:sz="8" w:space="0" w:color="auto"/>
              <w:left w:val="single" w:sz="8" w:space="0" w:color="auto"/>
              <w:bottom w:val="single" w:sz="8" w:space="0" w:color="auto"/>
            </w:tcBorders>
            <w:vAlign w:val="center"/>
            <w:hideMark/>
          </w:tcPr>
          <w:p w14:paraId="70010F26" w14:textId="77777777" w:rsidR="00921202" w:rsidRPr="00921202" w:rsidRDefault="00921202" w:rsidP="00921202">
            <w:r w:rsidRPr="00921202">
              <w:t xml:space="preserve">Внешнее состояние </w:t>
            </w:r>
          </w:p>
        </w:tc>
        <w:tc>
          <w:tcPr>
            <w:tcW w:w="1755" w:type="dxa"/>
            <w:tcBorders>
              <w:top w:val="single" w:sz="8" w:space="0" w:color="auto"/>
              <w:left w:val="single" w:sz="8" w:space="0" w:color="auto"/>
              <w:bottom w:val="single" w:sz="8" w:space="0" w:color="auto"/>
            </w:tcBorders>
            <w:vAlign w:val="center"/>
            <w:hideMark/>
          </w:tcPr>
          <w:p w14:paraId="73AF24DB" w14:textId="77777777" w:rsidR="00921202" w:rsidRPr="00921202" w:rsidRDefault="00921202" w:rsidP="00921202">
            <w:r w:rsidRPr="00921202">
              <w:t xml:space="preserve">Рост и развитие </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125CFBC" w14:textId="77777777" w:rsidR="00921202" w:rsidRPr="00921202" w:rsidRDefault="00921202" w:rsidP="00921202">
            <w:r w:rsidRPr="00921202">
              <w:t xml:space="preserve">Процент      </w:t>
            </w:r>
            <w:r w:rsidRPr="00921202">
              <w:br/>
              <w:t xml:space="preserve">нормального  </w:t>
            </w:r>
            <w:r w:rsidRPr="00921202">
              <w:br/>
              <w:t xml:space="preserve">роста и развития </w:t>
            </w:r>
          </w:p>
        </w:tc>
      </w:tr>
      <w:tr w:rsidR="00921202" w:rsidRPr="00921202" w14:paraId="525BE7AD" w14:textId="77777777" w:rsidTr="00921202">
        <w:trPr>
          <w:trHeight w:val="360"/>
        </w:trPr>
        <w:tc>
          <w:tcPr>
            <w:tcW w:w="1890" w:type="dxa"/>
            <w:tcBorders>
              <w:left w:val="single" w:sz="8" w:space="0" w:color="auto"/>
              <w:bottom w:val="single" w:sz="8" w:space="0" w:color="auto"/>
            </w:tcBorders>
            <w:vAlign w:val="center"/>
            <w:hideMark/>
          </w:tcPr>
          <w:p w14:paraId="6DD92DFE" w14:textId="77777777" w:rsidR="00921202" w:rsidRPr="00921202" w:rsidRDefault="00921202" w:rsidP="00921202">
            <w:r w:rsidRPr="00921202">
              <w:t xml:space="preserve">1,0          </w:t>
            </w:r>
          </w:p>
        </w:tc>
        <w:tc>
          <w:tcPr>
            <w:tcW w:w="3645" w:type="dxa"/>
            <w:tcBorders>
              <w:left w:val="single" w:sz="8" w:space="0" w:color="auto"/>
              <w:bottom w:val="single" w:sz="8" w:space="0" w:color="auto"/>
            </w:tcBorders>
            <w:vAlign w:val="center"/>
            <w:hideMark/>
          </w:tcPr>
          <w:p w14:paraId="3FC65EB0" w14:textId="77777777" w:rsidR="00921202" w:rsidRPr="00921202" w:rsidRDefault="00921202" w:rsidP="00921202">
            <w:r w:rsidRPr="00921202">
              <w:t xml:space="preserve">Без признаков   заболеваемости            </w:t>
            </w:r>
          </w:p>
        </w:tc>
        <w:tc>
          <w:tcPr>
            <w:tcW w:w="1755" w:type="dxa"/>
            <w:tcBorders>
              <w:left w:val="single" w:sz="8" w:space="0" w:color="auto"/>
              <w:bottom w:val="single" w:sz="8" w:space="0" w:color="auto"/>
            </w:tcBorders>
            <w:vAlign w:val="center"/>
            <w:hideMark/>
          </w:tcPr>
          <w:p w14:paraId="382B51B1" w14:textId="77777777" w:rsidR="00921202" w:rsidRPr="00921202" w:rsidRDefault="00921202" w:rsidP="00921202">
            <w:r w:rsidRPr="00921202">
              <w:t xml:space="preserve">Хорошее </w:t>
            </w:r>
          </w:p>
        </w:tc>
        <w:tc>
          <w:tcPr>
            <w:tcW w:w="2070" w:type="dxa"/>
            <w:tcBorders>
              <w:left w:val="single" w:sz="8" w:space="0" w:color="auto"/>
              <w:bottom w:val="single" w:sz="8" w:space="0" w:color="auto"/>
              <w:right w:val="single" w:sz="8" w:space="0" w:color="auto"/>
            </w:tcBorders>
            <w:vAlign w:val="center"/>
            <w:hideMark/>
          </w:tcPr>
          <w:p w14:paraId="70E9BF47" w14:textId="77777777" w:rsidR="00921202" w:rsidRPr="00921202" w:rsidRDefault="00921202" w:rsidP="00921202">
            <w:r w:rsidRPr="00921202">
              <w:t xml:space="preserve">Не менее 80% </w:t>
            </w:r>
          </w:p>
        </w:tc>
      </w:tr>
      <w:tr w:rsidR="00921202" w:rsidRPr="00921202" w14:paraId="01AB4B8F" w14:textId="77777777" w:rsidTr="00921202">
        <w:trPr>
          <w:trHeight w:val="480"/>
        </w:trPr>
        <w:tc>
          <w:tcPr>
            <w:tcW w:w="1890" w:type="dxa"/>
            <w:tcBorders>
              <w:left w:val="single" w:sz="8" w:space="0" w:color="auto"/>
              <w:bottom w:val="single" w:sz="8" w:space="0" w:color="auto"/>
            </w:tcBorders>
            <w:vAlign w:val="center"/>
            <w:hideMark/>
          </w:tcPr>
          <w:p w14:paraId="2AD3AC71" w14:textId="77777777" w:rsidR="00921202" w:rsidRPr="00921202" w:rsidRDefault="00921202" w:rsidP="00921202">
            <w:r w:rsidRPr="00921202">
              <w:lastRenderedPageBreak/>
              <w:t xml:space="preserve">0,75         </w:t>
            </w:r>
          </w:p>
        </w:tc>
        <w:tc>
          <w:tcPr>
            <w:tcW w:w="3645" w:type="dxa"/>
            <w:tcBorders>
              <w:left w:val="single" w:sz="8" w:space="0" w:color="auto"/>
              <w:bottom w:val="single" w:sz="8" w:space="0" w:color="auto"/>
            </w:tcBorders>
            <w:vAlign w:val="center"/>
            <w:hideMark/>
          </w:tcPr>
          <w:p w14:paraId="158B47AA" w14:textId="77777777" w:rsidR="00921202" w:rsidRPr="00921202" w:rsidRDefault="00921202" w:rsidP="00921202">
            <w:r w:rsidRPr="00921202">
              <w:t xml:space="preserve">С незначительными         </w:t>
            </w:r>
            <w:r w:rsidRPr="00921202">
              <w:br/>
              <w:t xml:space="preserve">признаками заболеваемости </w:t>
            </w:r>
            <w:r w:rsidRPr="00921202">
              <w:br/>
              <w:t xml:space="preserve">или повреждениями         </w:t>
            </w:r>
          </w:p>
        </w:tc>
        <w:tc>
          <w:tcPr>
            <w:tcW w:w="1755" w:type="dxa"/>
            <w:tcBorders>
              <w:left w:val="single" w:sz="8" w:space="0" w:color="auto"/>
              <w:bottom w:val="single" w:sz="8" w:space="0" w:color="auto"/>
            </w:tcBorders>
            <w:vAlign w:val="center"/>
            <w:hideMark/>
          </w:tcPr>
          <w:p w14:paraId="1B490BB8" w14:textId="77777777" w:rsidR="00921202" w:rsidRPr="00921202" w:rsidRDefault="00921202" w:rsidP="00921202">
            <w:r w:rsidRPr="00921202">
              <w:t>Замедленное,</w:t>
            </w:r>
            <w:r w:rsidRPr="00921202">
              <w:br/>
              <w:t xml:space="preserve">ослабленное </w:t>
            </w:r>
          </w:p>
        </w:tc>
        <w:tc>
          <w:tcPr>
            <w:tcW w:w="2070" w:type="dxa"/>
            <w:tcBorders>
              <w:left w:val="single" w:sz="8" w:space="0" w:color="auto"/>
              <w:bottom w:val="single" w:sz="8" w:space="0" w:color="auto"/>
              <w:right w:val="single" w:sz="8" w:space="0" w:color="auto"/>
            </w:tcBorders>
            <w:vAlign w:val="center"/>
            <w:hideMark/>
          </w:tcPr>
          <w:p w14:paraId="5C5345D8" w14:textId="77777777" w:rsidR="00921202" w:rsidRPr="00921202" w:rsidRDefault="00921202" w:rsidP="00921202">
            <w:r w:rsidRPr="00921202">
              <w:t xml:space="preserve">Не менее 50% </w:t>
            </w:r>
          </w:p>
        </w:tc>
      </w:tr>
      <w:tr w:rsidR="00921202" w:rsidRPr="00921202" w14:paraId="4FE3AAC4" w14:textId="77777777" w:rsidTr="00921202">
        <w:trPr>
          <w:trHeight w:val="480"/>
        </w:trPr>
        <w:tc>
          <w:tcPr>
            <w:tcW w:w="1890" w:type="dxa"/>
            <w:tcBorders>
              <w:left w:val="single" w:sz="8" w:space="0" w:color="auto"/>
              <w:bottom w:val="single" w:sz="8" w:space="0" w:color="auto"/>
            </w:tcBorders>
            <w:vAlign w:val="center"/>
            <w:hideMark/>
          </w:tcPr>
          <w:p w14:paraId="237E697E" w14:textId="77777777" w:rsidR="00921202" w:rsidRPr="00921202" w:rsidRDefault="00921202" w:rsidP="00921202">
            <w:r w:rsidRPr="00921202">
              <w:t xml:space="preserve">0,5          </w:t>
            </w:r>
          </w:p>
        </w:tc>
        <w:tc>
          <w:tcPr>
            <w:tcW w:w="3645" w:type="dxa"/>
            <w:tcBorders>
              <w:left w:val="single" w:sz="8" w:space="0" w:color="auto"/>
              <w:bottom w:val="single" w:sz="8" w:space="0" w:color="auto"/>
            </w:tcBorders>
            <w:vAlign w:val="center"/>
            <w:hideMark/>
          </w:tcPr>
          <w:p w14:paraId="43A1D7A0" w14:textId="77777777" w:rsidR="00921202" w:rsidRPr="00921202" w:rsidRDefault="00921202" w:rsidP="00921202">
            <w:r w:rsidRPr="00921202">
              <w:t>Угнетенное фитопатогенами,</w:t>
            </w:r>
            <w:r w:rsidRPr="00921202">
              <w:br/>
              <w:t xml:space="preserve">с механическими и другими </w:t>
            </w:r>
            <w:r w:rsidRPr="00921202">
              <w:br/>
              <w:t xml:space="preserve">повреждениями             </w:t>
            </w:r>
          </w:p>
        </w:tc>
        <w:tc>
          <w:tcPr>
            <w:tcW w:w="1755" w:type="dxa"/>
            <w:tcBorders>
              <w:left w:val="single" w:sz="8" w:space="0" w:color="auto"/>
              <w:bottom w:val="single" w:sz="8" w:space="0" w:color="auto"/>
            </w:tcBorders>
            <w:vAlign w:val="center"/>
            <w:hideMark/>
          </w:tcPr>
          <w:p w14:paraId="32D9DF3B" w14:textId="77777777" w:rsidR="00921202" w:rsidRPr="00921202" w:rsidRDefault="00921202" w:rsidP="00921202">
            <w:r w:rsidRPr="00921202">
              <w:t>Замедленное,</w:t>
            </w:r>
            <w:r w:rsidRPr="00921202">
              <w:br/>
              <w:t xml:space="preserve">угнетенное </w:t>
            </w:r>
          </w:p>
        </w:tc>
        <w:tc>
          <w:tcPr>
            <w:tcW w:w="2070" w:type="dxa"/>
            <w:tcBorders>
              <w:left w:val="single" w:sz="8" w:space="0" w:color="auto"/>
              <w:bottom w:val="single" w:sz="8" w:space="0" w:color="auto"/>
              <w:right w:val="single" w:sz="8" w:space="0" w:color="auto"/>
            </w:tcBorders>
            <w:vAlign w:val="center"/>
            <w:hideMark/>
          </w:tcPr>
          <w:p w14:paraId="6B55A68F" w14:textId="77777777" w:rsidR="00921202" w:rsidRPr="00921202" w:rsidRDefault="00921202" w:rsidP="00921202">
            <w:r w:rsidRPr="00921202">
              <w:t xml:space="preserve">Менее 50% </w:t>
            </w:r>
          </w:p>
        </w:tc>
      </w:tr>
    </w:tbl>
    <w:p w14:paraId="6C1B13EA" w14:textId="77777777" w:rsidR="00921202" w:rsidRPr="00921202" w:rsidRDefault="00921202" w:rsidP="00921202">
      <w:r w:rsidRPr="00921202">
        <w:t xml:space="preserve">  </w:t>
      </w:r>
    </w:p>
    <w:p w14:paraId="65D7FBBB" w14:textId="77777777" w:rsidR="00921202" w:rsidRPr="00921202" w:rsidRDefault="00921202" w:rsidP="00921202">
      <w:r w:rsidRPr="00921202">
        <w:t>3.5.К</w:t>
      </w:r>
      <w:r w:rsidRPr="00921202">
        <w:rPr>
          <w:vertAlign w:val="subscript"/>
        </w:rPr>
        <w:t>в</w:t>
      </w:r>
      <w:r w:rsidRPr="00921202">
        <w:t xml:space="preserve"> - учитывает водоохранные функции зеленых насаждений и устанавливается в размере: </w:t>
      </w:r>
    </w:p>
    <w:p w14:paraId="29E11B5D" w14:textId="77777777" w:rsidR="00921202" w:rsidRPr="00921202" w:rsidRDefault="00921202" w:rsidP="00921202">
      <w:r w:rsidRPr="00921202">
        <w:t xml:space="preserve">¾   2 - для зеленых насаждений, расположенных в 50-метровой зоне от уреза воды по обеим сторонам открытого водотока (водоема); </w:t>
      </w:r>
    </w:p>
    <w:p w14:paraId="3BE37DE0" w14:textId="77777777" w:rsidR="00921202" w:rsidRPr="00921202" w:rsidRDefault="00921202" w:rsidP="00921202">
      <w:r w:rsidRPr="00921202">
        <w:t xml:space="preserve">¾   1 - для остальных территорий. </w:t>
      </w:r>
    </w:p>
    <w:p w14:paraId="2160D1F8" w14:textId="77777777" w:rsidR="00921202" w:rsidRPr="00921202" w:rsidRDefault="00921202" w:rsidP="00921202">
      <w:r w:rsidRPr="00921202">
        <w:t xml:space="preserve">3.6. Компенсационная стоимость зеленых насаждений уменьшается в 2 раза в случаях: </w:t>
      </w:r>
    </w:p>
    <w:p w14:paraId="1A63D789" w14:textId="77777777" w:rsidR="00921202" w:rsidRPr="00921202" w:rsidRDefault="00921202" w:rsidP="00921202">
      <w:r w:rsidRPr="00921202">
        <w:t xml:space="preserve">¾   пересадки зеленых насаждений; </w:t>
      </w:r>
    </w:p>
    <w:p w14:paraId="03505E57" w14:textId="77777777" w:rsidR="00921202" w:rsidRPr="00921202" w:rsidRDefault="00921202" w:rsidP="00921202">
      <w:r w:rsidRPr="00921202">
        <w:t xml:space="preserve">¾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 </w:t>
      </w:r>
    </w:p>
    <w:p w14:paraId="3D3FF298" w14:textId="77777777" w:rsidR="00921202" w:rsidRPr="00921202" w:rsidRDefault="00921202" w:rsidP="00921202">
      <w:r w:rsidRPr="00921202">
        <w:t xml:space="preserve">3.7. Компенсационная стоимость зеленых насаждений уменьшается от 2 до 5 раз в случае осуществления строительства, реконструкции, капитального ремонта линейных объектов, направленных на обеспечение функционирования муниципальных образований Воронежской области. </w:t>
      </w:r>
    </w:p>
    <w:p w14:paraId="594A7388" w14:textId="77777777" w:rsidR="00921202" w:rsidRPr="00921202" w:rsidRDefault="00921202" w:rsidP="00921202">
      <w:r w:rsidRPr="00921202">
        <w:t xml:space="preserve">Величина  коэффициента устанавливается в зависимости от состояния и развития природного комплекса на территории  Селявинского сельского поселения. </w:t>
      </w:r>
    </w:p>
    <w:p w14:paraId="183F0FBC" w14:textId="77777777" w:rsidR="00921202" w:rsidRPr="00921202" w:rsidRDefault="00921202" w:rsidP="00921202">
      <w:r w:rsidRPr="00921202">
        <w:t>3.8.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(З</w:t>
      </w:r>
      <w:r w:rsidRPr="00921202">
        <w:rPr>
          <w:vertAlign w:val="subscript"/>
        </w:rPr>
        <w:t>е</w:t>
      </w:r>
      <w:r w:rsidRPr="00921202">
        <w:t>) и затраты по уходу за насаждениями (З</w:t>
      </w:r>
      <w:r w:rsidRPr="00921202">
        <w:rPr>
          <w:vertAlign w:val="subscript"/>
        </w:rPr>
        <w:t>у</w:t>
      </w:r>
      <w:r w:rsidRPr="00921202">
        <w:t xml:space="preserve"> ). </w:t>
      </w:r>
    </w:p>
    <w:p w14:paraId="464B6548" w14:textId="77777777" w:rsidR="00921202" w:rsidRPr="00921202" w:rsidRDefault="00921202" w:rsidP="00921202">
      <w:r w:rsidRPr="00921202">
        <w:t xml:space="preserve">Пример расчета компенсационной стоимости поросли, подроста и самосева. </w:t>
      </w:r>
    </w:p>
    <w:p w14:paraId="557947A8" w14:textId="77777777" w:rsidR="00921202" w:rsidRPr="00921202" w:rsidRDefault="00921202" w:rsidP="00921202">
      <w:r w:rsidRPr="00921202">
        <w:t xml:space="preserve">При расчете компенсационной стоимости поросли, подроста и самосева затраты по посадке и уходу за насаждением не учитываются. </w:t>
      </w:r>
    </w:p>
    <w:p w14:paraId="28BEE355" w14:textId="77777777" w:rsidR="00921202" w:rsidRPr="00921202" w:rsidRDefault="00921202" w:rsidP="00921202">
      <w:r w:rsidRPr="00921202">
        <w:t xml:space="preserve">¾   стоимость насаждения - 300 рублей; </w:t>
      </w:r>
    </w:p>
    <w:p w14:paraId="3E23EB8D" w14:textId="77777777" w:rsidR="00921202" w:rsidRPr="00921202" w:rsidRDefault="00921202" w:rsidP="00921202">
      <w:r w:rsidRPr="00921202">
        <w:t xml:space="preserve">¾   восстановительная стоимость равна цене насаждения. </w:t>
      </w:r>
    </w:p>
    <w:p w14:paraId="0310587E" w14:textId="77777777" w:rsidR="00921202" w:rsidRPr="00921202" w:rsidRDefault="00921202" w:rsidP="00921202">
      <w:r w:rsidRPr="00921202">
        <w:t>Компенсационная стоимость насаждения, находящегося в хорошем состоянии, (К</w:t>
      </w:r>
      <w:r w:rsidRPr="00921202">
        <w:rPr>
          <w:vertAlign w:val="subscript"/>
        </w:rPr>
        <w:t>с</w:t>
      </w:r>
      <w:r w:rsidRPr="00921202">
        <w:t xml:space="preserve"> = 1) растущего в пределах территорий: </w:t>
      </w:r>
    </w:p>
    <w:p w14:paraId="251F8C34" w14:textId="77777777" w:rsidR="00921202" w:rsidRPr="00921202" w:rsidRDefault="00921202" w:rsidP="00921202">
      <w:r w:rsidRPr="00921202">
        <w:t>¾   ограниченного и специального пользования при К</w:t>
      </w:r>
      <w:r w:rsidRPr="00921202">
        <w:rPr>
          <w:vertAlign w:val="subscript"/>
        </w:rPr>
        <w:t>з</w:t>
      </w:r>
      <w:r w:rsidRPr="00921202">
        <w:t xml:space="preserve"> = 1,5 С</w:t>
      </w:r>
      <w:r w:rsidRPr="00921202">
        <w:rPr>
          <w:vertAlign w:val="subscript"/>
        </w:rPr>
        <w:t>к</w:t>
      </w:r>
      <w:r w:rsidRPr="00921202">
        <w:t xml:space="preserve"> = 450 рублей; </w:t>
      </w:r>
    </w:p>
    <w:p w14:paraId="465263BC" w14:textId="77777777" w:rsidR="00921202" w:rsidRPr="00921202" w:rsidRDefault="00921202" w:rsidP="00921202">
      <w:r w:rsidRPr="00921202">
        <w:t>¾   общего пользования при К</w:t>
      </w:r>
      <w:r w:rsidRPr="00921202">
        <w:rPr>
          <w:vertAlign w:val="subscript"/>
        </w:rPr>
        <w:t>з</w:t>
      </w:r>
      <w:r w:rsidRPr="00921202">
        <w:t xml:space="preserve"> = 2 С</w:t>
      </w:r>
      <w:r w:rsidRPr="00921202">
        <w:rPr>
          <w:vertAlign w:val="subscript"/>
        </w:rPr>
        <w:t>к</w:t>
      </w:r>
      <w:r w:rsidRPr="00921202">
        <w:t xml:space="preserve"> = 600 рублей; </w:t>
      </w:r>
    </w:p>
    <w:p w14:paraId="61C900A8" w14:textId="77777777" w:rsidR="00921202" w:rsidRPr="00921202" w:rsidRDefault="00921202" w:rsidP="00921202">
      <w:r w:rsidRPr="00921202">
        <w:t>¾   особо охраняемых природных территориях  при К</w:t>
      </w:r>
      <w:r w:rsidRPr="00921202">
        <w:rPr>
          <w:vertAlign w:val="subscript"/>
        </w:rPr>
        <w:t>з</w:t>
      </w:r>
      <w:r w:rsidRPr="00921202">
        <w:t xml:space="preserve"> = 3 С</w:t>
      </w:r>
      <w:r w:rsidRPr="00921202">
        <w:rPr>
          <w:vertAlign w:val="subscript"/>
        </w:rPr>
        <w:t>к</w:t>
      </w:r>
      <w:r w:rsidRPr="00921202">
        <w:t xml:space="preserve"> = 900 рублей. </w:t>
      </w:r>
    </w:p>
    <w:p w14:paraId="772B134E" w14:textId="77777777" w:rsidR="00921202" w:rsidRPr="00921202" w:rsidRDefault="00921202" w:rsidP="00921202">
      <w:r w:rsidRPr="00921202">
        <w:lastRenderedPageBreak/>
        <w:t xml:space="preserve">  </w:t>
      </w:r>
    </w:p>
    <w:p w14:paraId="4A909537" w14:textId="77777777" w:rsidR="00921202" w:rsidRPr="00921202" w:rsidRDefault="00921202" w:rsidP="00921202">
      <w:r w:rsidRPr="00921202">
        <w:rPr>
          <w:b/>
          <w:bCs/>
        </w:rPr>
        <w:t>4. Примеры расчета компенсационной стоимости</w:t>
      </w:r>
      <w:r w:rsidRPr="00921202">
        <w:t xml:space="preserve"> </w:t>
      </w:r>
    </w:p>
    <w:p w14:paraId="27B93ED1" w14:textId="77777777" w:rsidR="00921202" w:rsidRPr="00921202" w:rsidRDefault="00921202" w:rsidP="00921202">
      <w:r w:rsidRPr="00921202">
        <w:t xml:space="preserve">  </w:t>
      </w:r>
    </w:p>
    <w:p w14:paraId="08AB979E" w14:textId="77777777" w:rsidR="00921202" w:rsidRPr="00921202" w:rsidRDefault="00921202" w:rsidP="00921202">
      <w:r w:rsidRPr="00921202">
        <w:t xml:space="preserve">4.1. Дерево породы береза. </w:t>
      </w:r>
    </w:p>
    <w:p w14:paraId="39E44B03" w14:textId="77777777" w:rsidR="00921202" w:rsidRPr="00921202" w:rsidRDefault="00921202" w:rsidP="00921202">
      <w:r w:rsidRPr="00921202">
        <w:t xml:space="preserve">Стоимость саженца березы = 450 рублей. </w:t>
      </w:r>
    </w:p>
    <w:p w14:paraId="061E77ED" w14:textId="77777777" w:rsidR="00921202" w:rsidRPr="00921202" w:rsidRDefault="00921202" w:rsidP="00921202">
      <w:r w:rsidRPr="00921202">
        <w:t xml:space="preserve">Средняя заработная плата в строительстве = 17050 рублей. </w:t>
      </w:r>
    </w:p>
    <w:p w14:paraId="59EB7DA9" w14:textId="77777777" w:rsidR="00921202" w:rsidRPr="00921202" w:rsidRDefault="00921202" w:rsidP="00921202">
      <w:r w:rsidRPr="00921202">
        <w:t xml:space="preserve">Единовременные затраты по посадке дерева = 17050 : 165,45 x 9,646 = 994,04. </w:t>
      </w:r>
    </w:p>
    <w:p w14:paraId="3A40AFEF" w14:textId="77777777" w:rsidR="00921202" w:rsidRPr="00921202" w:rsidRDefault="00921202" w:rsidP="00921202">
      <w:r w:rsidRPr="00921202">
        <w:t xml:space="preserve">Затраты по уходу за деревом диаметром до 10 см = 17050 : 165,45 x 4,424 x 3 = 1367,70 </w:t>
      </w:r>
    </w:p>
    <w:p w14:paraId="5EAA411C" w14:textId="77777777" w:rsidR="00921202" w:rsidRPr="00921202" w:rsidRDefault="00921202" w:rsidP="00921202">
      <w:r w:rsidRPr="00921202">
        <w:t xml:space="preserve">Восстановительная стоимость березы диаметром до 10 см = 450 + 994,04 + 1367,70 = 2811,74. </w:t>
      </w:r>
    </w:p>
    <w:p w14:paraId="4490AE7B" w14:textId="77777777" w:rsidR="00921202" w:rsidRPr="00921202" w:rsidRDefault="00921202" w:rsidP="00921202">
      <w:r w:rsidRPr="00921202">
        <w:t>Компенсационная стоимость (С</w:t>
      </w:r>
      <w:r w:rsidRPr="00921202">
        <w:rPr>
          <w:vertAlign w:val="subscript"/>
        </w:rPr>
        <w:t>к</w:t>
      </w:r>
      <w:r w:rsidRPr="00921202">
        <w:t>) березы диаметром до 10 см, находящейся в хорошем состоянии (К</w:t>
      </w:r>
      <w:r w:rsidRPr="00921202">
        <w:rPr>
          <w:vertAlign w:val="subscript"/>
        </w:rPr>
        <w:t>с</w:t>
      </w:r>
      <w:r w:rsidRPr="00921202">
        <w:t xml:space="preserve"> = 1), растущей в пределах территорий: </w:t>
      </w:r>
    </w:p>
    <w:p w14:paraId="7D828051" w14:textId="77777777" w:rsidR="00921202" w:rsidRPr="00921202" w:rsidRDefault="00921202" w:rsidP="00921202">
      <w:r w:rsidRPr="00921202">
        <w:t>¾   ограниченного и специального пользования при К</w:t>
      </w:r>
      <w:r w:rsidRPr="00921202">
        <w:rPr>
          <w:vertAlign w:val="subscript"/>
        </w:rPr>
        <w:t>з</w:t>
      </w:r>
      <w:r w:rsidRPr="00921202">
        <w:t xml:space="preserve"> = 1,5 С</w:t>
      </w:r>
      <w:r w:rsidRPr="00921202">
        <w:rPr>
          <w:vertAlign w:val="subscript"/>
        </w:rPr>
        <w:t>к</w:t>
      </w:r>
      <w:r w:rsidRPr="00921202">
        <w:t xml:space="preserve"> = 4217,61 (рублей); </w:t>
      </w:r>
    </w:p>
    <w:p w14:paraId="1281A940" w14:textId="77777777" w:rsidR="00921202" w:rsidRPr="00921202" w:rsidRDefault="00921202" w:rsidP="00921202">
      <w:r w:rsidRPr="00921202">
        <w:t>¾   общего пользования при К = 2 С</w:t>
      </w:r>
      <w:r w:rsidRPr="00921202">
        <w:rPr>
          <w:vertAlign w:val="subscript"/>
        </w:rPr>
        <w:t>к</w:t>
      </w:r>
      <w:r w:rsidRPr="00921202">
        <w:t xml:space="preserve"> = 5623,48 (рубля); </w:t>
      </w:r>
    </w:p>
    <w:p w14:paraId="1346BF9D" w14:textId="77777777" w:rsidR="00921202" w:rsidRPr="00921202" w:rsidRDefault="00921202" w:rsidP="00921202">
      <w:r w:rsidRPr="00921202">
        <w:t>¾   особо охраняемых природных территорий  К</w:t>
      </w:r>
      <w:r w:rsidRPr="00921202">
        <w:rPr>
          <w:vertAlign w:val="subscript"/>
        </w:rPr>
        <w:t>з</w:t>
      </w:r>
      <w:r w:rsidRPr="00921202">
        <w:t xml:space="preserve"> = 3 С</w:t>
      </w:r>
      <w:r w:rsidRPr="00921202">
        <w:rPr>
          <w:vertAlign w:val="subscript"/>
        </w:rPr>
        <w:t>к</w:t>
      </w:r>
      <w:r w:rsidRPr="00921202">
        <w:t xml:space="preserve"> = 8435,22 (рублей). </w:t>
      </w:r>
    </w:p>
    <w:p w14:paraId="1C31A8D4" w14:textId="77777777" w:rsidR="00921202" w:rsidRPr="00921202" w:rsidRDefault="00921202" w:rsidP="00921202">
      <w:r w:rsidRPr="00921202">
        <w:t xml:space="preserve">  </w:t>
      </w:r>
    </w:p>
    <w:p w14:paraId="382688BC" w14:textId="77777777" w:rsidR="00921202" w:rsidRPr="00921202" w:rsidRDefault="00921202" w:rsidP="00921202">
      <w:r w:rsidRPr="00921202">
        <w:t xml:space="preserve">Затраты по уходу за деревом диаметром свыше 30 см = 17050 : 165,45 x 4,424 x 6 = 2735,42. </w:t>
      </w:r>
    </w:p>
    <w:p w14:paraId="39586538" w14:textId="77777777" w:rsidR="00921202" w:rsidRPr="00921202" w:rsidRDefault="00921202" w:rsidP="00921202">
      <w:r w:rsidRPr="00921202">
        <w:t xml:space="preserve">Восстановительная стоимость березы диаметром свыше 30 см = 450 + 994,04 + 2735,42 = 4179,46. </w:t>
      </w:r>
    </w:p>
    <w:p w14:paraId="0F2FF5C8" w14:textId="77777777" w:rsidR="00921202" w:rsidRPr="00921202" w:rsidRDefault="00921202" w:rsidP="00921202">
      <w:r w:rsidRPr="00921202">
        <w:t xml:space="preserve">Компенсационная стоимость березы диаметром свыше 30 см, находящейся в хорошем состоянии, растущей в пределах территорий: </w:t>
      </w:r>
    </w:p>
    <w:p w14:paraId="3DF4A45E" w14:textId="77777777" w:rsidR="00921202" w:rsidRPr="00921202" w:rsidRDefault="00921202" w:rsidP="00921202">
      <w:r w:rsidRPr="00921202">
        <w:t>¾   ограниченного и специального пользования С</w:t>
      </w:r>
      <w:r w:rsidRPr="00921202">
        <w:rPr>
          <w:vertAlign w:val="subscript"/>
        </w:rPr>
        <w:t>к</w:t>
      </w:r>
      <w:r w:rsidRPr="00921202">
        <w:t xml:space="preserve"> = 6269,19 (рублей); </w:t>
      </w:r>
    </w:p>
    <w:p w14:paraId="6D527227" w14:textId="77777777" w:rsidR="00921202" w:rsidRPr="00921202" w:rsidRDefault="00921202" w:rsidP="00921202">
      <w:r w:rsidRPr="00921202">
        <w:t>¾   общего пользования С</w:t>
      </w:r>
      <w:r w:rsidRPr="00921202">
        <w:rPr>
          <w:vertAlign w:val="subscript"/>
        </w:rPr>
        <w:t>к</w:t>
      </w:r>
      <w:r w:rsidRPr="00921202">
        <w:t xml:space="preserve"> = 8358,92 (рублей); </w:t>
      </w:r>
    </w:p>
    <w:p w14:paraId="0EF2315D" w14:textId="77777777" w:rsidR="00921202" w:rsidRPr="00921202" w:rsidRDefault="00921202" w:rsidP="00921202">
      <w:r w:rsidRPr="00921202">
        <w:t>¾   особо охраняемых природных территорий С</w:t>
      </w:r>
      <w:r w:rsidRPr="00921202">
        <w:rPr>
          <w:vertAlign w:val="subscript"/>
        </w:rPr>
        <w:t>к</w:t>
      </w:r>
      <w:r w:rsidRPr="00921202">
        <w:t xml:space="preserve"> = 12538,38 (рублей). </w:t>
      </w:r>
    </w:p>
    <w:p w14:paraId="7C5C858A" w14:textId="77777777" w:rsidR="00921202" w:rsidRPr="00921202" w:rsidRDefault="00921202" w:rsidP="00921202">
      <w:r w:rsidRPr="00921202">
        <w:t xml:space="preserve">  </w:t>
      </w:r>
    </w:p>
    <w:p w14:paraId="047BE74A" w14:textId="77777777" w:rsidR="00921202" w:rsidRPr="00921202" w:rsidRDefault="00921202" w:rsidP="00921202">
      <w:r w:rsidRPr="00921202">
        <w:t xml:space="preserve">Среднее число рабочих часов в месяц при 40-часой рабочей неделе  (3р) = 165.45. </w:t>
      </w:r>
    </w:p>
    <w:p w14:paraId="0821E7B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0D"/>
    <w:rsid w:val="00312C96"/>
    <w:rsid w:val="005A7B2A"/>
    <w:rsid w:val="008D6E62"/>
    <w:rsid w:val="00921202"/>
    <w:rsid w:val="00C22A0D"/>
    <w:rsid w:val="00C81128"/>
    <w:rsid w:val="00F2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BEDBA-4DD5-46BB-B2B8-9AC1B007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2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22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22A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22A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2A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2A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2A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2A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2A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A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22A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22A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22A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22A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22A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2A0D"/>
    <w:rPr>
      <w:rFonts w:eastAsiaTheme="majorEastAsia" w:cstheme="majorBidi"/>
      <w:color w:val="595959" w:themeColor="text1" w:themeTint="A6"/>
    </w:rPr>
  </w:style>
  <w:style w:type="character" w:customStyle="1" w:styleId="80">
    <w:name w:val="Заголовок 8 Знак"/>
    <w:basedOn w:val="a0"/>
    <w:link w:val="8"/>
    <w:uiPriority w:val="9"/>
    <w:semiHidden/>
    <w:rsid w:val="00C22A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2A0D"/>
    <w:rPr>
      <w:rFonts w:eastAsiaTheme="majorEastAsia" w:cstheme="majorBidi"/>
      <w:color w:val="272727" w:themeColor="text1" w:themeTint="D8"/>
    </w:rPr>
  </w:style>
  <w:style w:type="paragraph" w:styleId="a3">
    <w:name w:val="Title"/>
    <w:basedOn w:val="a"/>
    <w:next w:val="a"/>
    <w:link w:val="a4"/>
    <w:uiPriority w:val="10"/>
    <w:qFormat/>
    <w:rsid w:val="00C22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2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A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2A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2A0D"/>
    <w:pPr>
      <w:spacing w:before="160"/>
      <w:jc w:val="center"/>
    </w:pPr>
    <w:rPr>
      <w:i/>
      <w:iCs/>
      <w:color w:val="404040" w:themeColor="text1" w:themeTint="BF"/>
    </w:rPr>
  </w:style>
  <w:style w:type="character" w:customStyle="1" w:styleId="22">
    <w:name w:val="Цитата 2 Знак"/>
    <w:basedOn w:val="a0"/>
    <w:link w:val="21"/>
    <w:uiPriority w:val="29"/>
    <w:rsid w:val="00C22A0D"/>
    <w:rPr>
      <w:i/>
      <w:iCs/>
      <w:color w:val="404040" w:themeColor="text1" w:themeTint="BF"/>
    </w:rPr>
  </w:style>
  <w:style w:type="paragraph" w:styleId="a7">
    <w:name w:val="List Paragraph"/>
    <w:basedOn w:val="a"/>
    <w:uiPriority w:val="34"/>
    <w:qFormat/>
    <w:rsid w:val="00C22A0D"/>
    <w:pPr>
      <w:ind w:left="720"/>
      <w:contextualSpacing/>
    </w:pPr>
  </w:style>
  <w:style w:type="character" w:styleId="a8">
    <w:name w:val="Intense Emphasis"/>
    <w:basedOn w:val="a0"/>
    <w:uiPriority w:val="21"/>
    <w:qFormat/>
    <w:rsid w:val="00C22A0D"/>
    <w:rPr>
      <w:i/>
      <w:iCs/>
      <w:color w:val="0F4761" w:themeColor="accent1" w:themeShade="BF"/>
    </w:rPr>
  </w:style>
  <w:style w:type="paragraph" w:styleId="a9">
    <w:name w:val="Intense Quote"/>
    <w:basedOn w:val="a"/>
    <w:next w:val="a"/>
    <w:link w:val="aa"/>
    <w:uiPriority w:val="30"/>
    <w:qFormat/>
    <w:rsid w:val="00C22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22A0D"/>
    <w:rPr>
      <w:i/>
      <w:iCs/>
      <w:color w:val="0F4761" w:themeColor="accent1" w:themeShade="BF"/>
    </w:rPr>
  </w:style>
  <w:style w:type="character" w:styleId="ab">
    <w:name w:val="Intense Reference"/>
    <w:basedOn w:val="a0"/>
    <w:uiPriority w:val="32"/>
    <w:qFormat/>
    <w:rsid w:val="00C22A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74840">
      <w:bodyDiv w:val="1"/>
      <w:marLeft w:val="0"/>
      <w:marRight w:val="0"/>
      <w:marTop w:val="0"/>
      <w:marBottom w:val="0"/>
      <w:divBdr>
        <w:top w:val="none" w:sz="0" w:space="0" w:color="auto"/>
        <w:left w:val="none" w:sz="0" w:space="0" w:color="auto"/>
        <w:bottom w:val="none" w:sz="0" w:space="0" w:color="auto"/>
        <w:right w:val="none" w:sz="0" w:space="0" w:color="auto"/>
      </w:divBdr>
      <w:divsChild>
        <w:div w:id="41178573">
          <w:marLeft w:val="0"/>
          <w:marRight w:val="0"/>
          <w:marTop w:val="0"/>
          <w:marBottom w:val="0"/>
          <w:divBdr>
            <w:top w:val="none" w:sz="0" w:space="0" w:color="auto"/>
            <w:left w:val="none" w:sz="0" w:space="0" w:color="auto"/>
            <w:bottom w:val="none" w:sz="0" w:space="0" w:color="auto"/>
            <w:right w:val="none" w:sz="0" w:space="0" w:color="auto"/>
          </w:divBdr>
        </w:div>
      </w:divsChild>
    </w:div>
    <w:div w:id="1894080393">
      <w:bodyDiv w:val="1"/>
      <w:marLeft w:val="0"/>
      <w:marRight w:val="0"/>
      <w:marTop w:val="0"/>
      <w:marBottom w:val="0"/>
      <w:divBdr>
        <w:top w:val="none" w:sz="0" w:space="0" w:color="auto"/>
        <w:left w:val="none" w:sz="0" w:space="0" w:color="auto"/>
        <w:bottom w:val="none" w:sz="0" w:space="0" w:color="auto"/>
        <w:right w:val="none" w:sz="0" w:space="0" w:color="auto"/>
      </w:divBdr>
      <w:divsChild>
        <w:div w:id="14204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2024-12-06T07:22:00Z</dcterms:created>
  <dcterms:modified xsi:type="dcterms:W3CDTF">2024-12-06T07:22:00Z</dcterms:modified>
</cp:coreProperties>
</file>